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715" w:rsidRPr="00CC2595" w:rsidRDefault="00D97A2D" w:rsidP="00CC2595">
      <w:pPr>
        <w:spacing w:after="0" w:line="240" w:lineRule="auto"/>
        <w:jc w:val="center"/>
        <w:rPr>
          <w:rFonts w:ascii="Times New Roman" w:hAnsi="Times New Roman" w:cs="Times New Roman"/>
          <w:b/>
          <w:sz w:val="28"/>
          <w:szCs w:val="28"/>
          <w:lang w:val="en-US"/>
        </w:rPr>
      </w:pPr>
      <w:r w:rsidRPr="00CC2595">
        <w:rPr>
          <w:rFonts w:ascii="Times New Roman" w:hAnsi="Times New Roman" w:cs="Times New Roman"/>
          <w:b/>
          <w:sz w:val="28"/>
          <w:szCs w:val="28"/>
          <w:lang w:val="en-US"/>
        </w:rPr>
        <w:t>CHAPTER</w:t>
      </w:r>
      <w:r w:rsidR="00A07715" w:rsidRPr="00CC2595">
        <w:rPr>
          <w:rFonts w:ascii="Times New Roman" w:hAnsi="Times New Roman" w:cs="Times New Roman"/>
          <w:b/>
          <w:sz w:val="28"/>
          <w:szCs w:val="28"/>
          <w:lang w:val="en-US"/>
        </w:rPr>
        <w:t xml:space="preserve"> 27</w:t>
      </w:r>
    </w:p>
    <w:p w:rsidR="00A07715" w:rsidRPr="00CC2595" w:rsidRDefault="00D97A2D" w:rsidP="00CC2595">
      <w:pPr>
        <w:spacing w:after="0" w:line="240" w:lineRule="auto"/>
        <w:jc w:val="center"/>
        <w:rPr>
          <w:rFonts w:ascii="Times New Roman" w:hAnsi="Times New Roman" w:cs="Times New Roman"/>
          <w:sz w:val="28"/>
          <w:szCs w:val="28"/>
          <w:lang w:val="en-US"/>
        </w:rPr>
      </w:pPr>
      <w:r w:rsidRPr="00CC2595">
        <w:rPr>
          <w:rFonts w:ascii="Times New Roman" w:hAnsi="Times New Roman" w:cs="Times New Roman"/>
          <w:b/>
          <w:sz w:val="28"/>
          <w:szCs w:val="28"/>
          <w:lang w:val="en-US"/>
        </w:rPr>
        <w:t>MINERAL FUELS</w:t>
      </w:r>
      <w:r w:rsidR="00A07715" w:rsidRPr="00CC2595">
        <w:rPr>
          <w:rFonts w:ascii="Times New Roman" w:hAnsi="Times New Roman" w:cs="Times New Roman"/>
          <w:b/>
          <w:sz w:val="28"/>
          <w:szCs w:val="28"/>
          <w:lang w:val="en-US"/>
        </w:rPr>
        <w:t>,</w:t>
      </w:r>
      <w:r w:rsidR="00341EB5" w:rsidRPr="00CC2595">
        <w:rPr>
          <w:rFonts w:ascii="Times New Roman" w:hAnsi="Times New Roman" w:cs="Times New Roman"/>
          <w:b/>
          <w:sz w:val="28"/>
          <w:szCs w:val="28"/>
          <w:lang w:val="en-US"/>
        </w:rPr>
        <w:t xml:space="preserve"> </w:t>
      </w:r>
      <w:r w:rsidRPr="00CC2595">
        <w:rPr>
          <w:rFonts w:ascii="Times New Roman" w:hAnsi="Times New Roman" w:cs="Times New Roman"/>
          <w:b/>
          <w:sz w:val="28"/>
          <w:szCs w:val="28"/>
          <w:lang w:val="en-US"/>
        </w:rPr>
        <w:t>MINERAL OILS AND PRODUCTS OF THEIR DISTILLATION; BUTUMINOUS SUBSTANCES; MINERAL WAXES</w:t>
      </w:r>
    </w:p>
    <w:p w:rsidR="00A07715" w:rsidRPr="00CC2595" w:rsidRDefault="00D97A2D" w:rsidP="00CC2595">
      <w:pPr>
        <w:spacing w:after="0" w:line="240" w:lineRule="auto"/>
        <w:ind w:left="284" w:hanging="284"/>
        <w:jc w:val="both"/>
        <w:rPr>
          <w:rFonts w:ascii="Times New Roman" w:hAnsi="Times New Roman" w:cs="Times New Roman"/>
          <w:b/>
          <w:sz w:val="28"/>
          <w:szCs w:val="28"/>
          <w:lang w:val="en-US"/>
        </w:rPr>
      </w:pPr>
      <w:r w:rsidRPr="00CC2595">
        <w:rPr>
          <w:rFonts w:ascii="Times New Roman" w:hAnsi="Times New Roman" w:cs="Times New Roman"/>
          <w:b/>
          <w:sz w:val="28"/>
          <w:szCs w:val="28"/>
          <w:lang w:val="en-US"/>
        </w:rPr>
        <w:t>Notes</w:t>
      </w:r>
      <w:r w:rsidR="00A07715" w:rsidRPr="00CC2595">
        <w:rPr>
          <w:rFonts w:ascii="Times New Roman" w:hAnsi="Times New Roman" w:cs="Times New Roman"/>
          <w:b/>
          <w:sz w:val="28"/>
          <w:szCs w:val="28"/>
          <w:lang w:val="en-US"/>
        </w:rPr>
        <w:t>:</w:t>
      </w:r>
    </w:p>
    <w:p w:rsidR="00A07715" w:rsidRPr="00CC2595" w:rsidRDefault="00A07715" w:rsidP="00CC2595">
      <w:pPr>
        <w:spacing w:after="0" w:line="240" w:lineRule="auto"/>
        <w:ind w:left="284"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1. </w:t>
      </w:r>
      <w:r w:rsidR="00D97A2D" w:rsidRPr="00CC2595">
        <w:rPr>
          <w:rFonts w:ascii="Times New Roman" w:hAnsi="Times New Roman" w:cs="Times New Roman"/>
          <w:color w:val="0B0C0C"/>
          <w:sz w:val="28"/>
          <w:szCs w:val="28"/>
          <w:shd w:val="clear" w:color="auto" w:fill="FFFFFF"/>
          <w:lang w:val="en-US"/>
        </w:rPr>
        <w:t>This chapter does not cover</w:t>
      </w:r>
      <w:r w:rsidRPr="00CC2595">
        <w:rPr>
          <w:rFonts w:ascii="Times New Roman" w:hAnsi="Times New Roman" w:cs="Times New Roman"/>
          <w:sz w:val="28"/>
          <w:szCs w:val="28"/>
          <w:lang w:val="en-US"/>
        </w:rPr>
        <w:t>:</w:t>
      </w:r>
    </w:p>
    <w:p w:rsidR="00D97A2D" w:rsidRPr="00CC2595" w:rsidRDefault="00D97A2D"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a) separate chemically defined organic compounds, other than pure methane and propane which are to be classified in heading 2711;</w:t>
      </w:r>
    </w:p>
    <w:p w:rsidR="00D97A2D" w:rsidRPr="00CC2595" w:rsidRDefault="00D97A2D"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b) medicaments of heading 3003 or 3004; or</w:t>
      </w:r>
    </w:p>
    <w:p w:rsidR="00A07715" w:rsidRPr="00CC2595" w:rsidRDefault="00D97A2D"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c) mixed unsaturated hydrocarbons of heading 3301, 3302 or 3805</w:t>
      </w:r>
      <w:r w:rsidR="00CC2595">
        <w:rPr>
          <w:rFonts w:ascii="Times New Roman" w:eastAsia="Times New Roman" w:hAnsi="Times New Roman" w:cs="Times New Roman"/>
          <w:color w:val="0B0C0C"/>
          <w:sz w:val="28"/>
          <w:szCs w:val="28"/>
          <w:lang w:val="en-US"/>
        </w:rPr>
        <w:t>.</w:t>
      </w:r>
    </w:p>
    <w:p w:rsidR="00D97A2D" w:rsidRPr="00CC2595" w:rsidRDefault="00A07715" w:rsidP="00CC2595">
      <w:pPr>
        <w:spacing w:after="0" w:line="240" w:lineRule="auto"/>
        <w:ind w:left="284" w:hanging="284"/>
        <w:jc w:val="both"/>
        <w:rPr>
          <w:rFonts w:ascii="Times New Roman" w:hAnsi="Times New Roman" w:cs="Times New Roman"/>
          <w:color w:val="0B0C0C"/>
          <w:sz w:val="28"/>
          <w:szCs w:val="28"/>
          <w:shd w:val="clear" w:color="auto" w:fill="FFFFFF"/>
          <w:lang w:val="en-US"/>
        </w:rPr>
      </w:pPr>
      <w:r w:rsidRPr="00CC2595">
        <w:rPr>
          <w:rFonts w:ascii="Times New Roman" w:hAnsi="Times New Roman" w:cs="Times New Roman"/>
          <w:sz w:val="28"/>
          <w:szCs w:val="28"/>
          <w:lang w:val="en-US"/>
        </w:rPr>
        <w:t>2.</w:t>
      </w:r>
      <w:r w:rsidR="00D97A2D" w:rsidRPr="00CC2595">
        <w:rPr>
          <w:rFonts w:ascii="Times New Roman" w:hAnsi="Times New Roman" w:cs="Times New Roman"/>
          <w:color w:val="0B0C0C"/>
          <w:sz w:val="28"/>
          <w:szCs w:val="28"/>
          <w:shd w:val="clear" w:color="auto" w:fill="FFFFFF"/>
          <w:lang w:val="en-US"/>
        </w:rPr>
        <w:t xml:space="preserve"> References in heading 2710 to ‘petroleum oils and oils obtained from bituminous minerals’ include not only petroleum oils and oils obtained from bituminous minerals but also similar oils, as well as those consisting mainly of mixed unsaturated hydrocarbons, obtained by any process, provided that the weight of the non-aromatic constituents exceeds that of the aromatic constituents. However, the references do not include liquid synthetic polyolefins of which less than 60% by volume distils at 300° C, after conversion to 1,013 millibars when a reduced-pressure distillation method is used (Chapter 39) </w:t>
      </w:r>
    </w:p>
    <w:p w:rsidR="00A07715" w:rsidRPr="00CC2595" w:rsidRDefault="00A07715" w:rsidP="00CC2595">
      <w:pPr>
        <w:spacing w:after="0" w:line="240" w:lineRule="auto"/>
        <w:ind w:left="284"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3. </w:t>
      </w:r>
      <w:r w:rsidR="00005D00" w:rsidRPr="00CC2595">
        <w:rPr>
          <w:rFonts w:ascii="Times New Roman" w:hAnsi="Times New Roman" w:cs="Times New Roman"/>
          <w:color w:val="0B0C0C"/>
          <w:sz w:val="28"/>
          <w:szCs w:val="28"/>
          <w:shd w:val="clear" w:color="auto" w:fill="FFFFFF"/>
          <w:lang w:val="en-US"/>
        </w:rPr>
        <w:t>For the purposes of heading 2710, ‘waste oils’ means waste containing mainly petroleum oils and oils obtained from bituminous minerals (as described in note 2 to this chapter), whether or not mixed with water. These include</w:t>
      </w:r>
      <w:r w:rsidRPr="00CC2595">
        <w:rPr>
          <w:rFonts w:ascii="Times New Roman" w:hAnsi="Times New Roman" w:cs="Times New Roman"/>
          <w:sz w:val="28"/>
          <w:szCs w:val="28"/>
          <w:lang w:val="en-US"/>
        </w:rPr>
        <w:t>:</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a) such oils no longer fit for use as primary products (for example, used lubricating oils, used hydraulic oils and used transformer oils);</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b) sludge oils from the storage tanks of petroleum oils, mainly containing such oils and a high concentration of additives (for example, chemicals) used in the manufacture of the primary products; and</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c) such oils in the form of emulsions in water or mixtures with water, such as those resulting from oil spills, storage tank washings, or from the use of cutting oils for machining operations</w:t>
      </w:r>
      <w:r w:rsidR="00CC2595">
        <w:rPr>
          <w:rFonts w:ascii="Times New Roman" w:eastAsia="Times New Roman" w:hAnsi="Times New Roman" w:cs="Times New Roman"/>
          <w:color w:val="0B0C0C"/>
          <w:sz w:val="28"/>
          <w:szCs w:val="28"/>
          <w:lang w:val="en-US"/>
        </w:rPr>
        <w:t>.</w:t>
      </w:r>
    </w:p>
    <w:p w:rsidR="00A07715" w:rsidRPr="00CC2595" w:rsidRDefault="00005D00" w:rsidP="00CC2595">
      <w:pPr>
        <w:spacing w:after="0" w:line="240" w:lineRule="auto"/>
        <w:ind w:left="284" w:hanging="284"/>
        <w:jc w:val="both"/>
        <w:rPr>
          <w:rFonts w:ascii="Times New Roman" w:hAnsi="Times New Roman" w:cs="Times New Roman"/>
          <w:b/>
          <w:sz w:val="28"/>
          <w:szCs w:val="28"/>
          <w:lang w:val="en-US"/>
        </w:rPr>
      </w:pPr>
      <w:r w:rsidRPr="00CC2595">
        <w:rPr>
          <w:rFonts w:ascii="Times New Roman" w:hAnsi="Times New Roman" w:cs="Times New Roman"/>
          <w:b/>
          <w:sz w:val="28"/>
          <w:szCs w:val="28"/>
          <w:lang w:val="en-US"/>
        </w:rPr>
        <w:t>Subheading notes</w:t>
      </w:r>
      <w:r w:rsidR="00A07715" w:rsidRPr="00CC2595">
        <w:rPr>
          <w:rFonts w:ascii="Times New Roman" w:hAnsi="Times New Roman" w:cs="Times New Roman"/>
          <w:b/>
          <w:sz w:val="28"/>
          <w:szCs w:val="28"/>
          <w:lang w:val="en-US"/>
        </w:rPr>
        <w:t>:</w:t>
      </w:r>
    </w:p>
    <w:p w:rsidR="00005D00" w:rsidRPr="00CC2595" w:rsidRDefault="00A07715" w:rsidP="00CC2595">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lang w:val="en-US"/>
        </w:rPr>
        <w:t xml:space="preserve">1. </w:t>
      </w:r>
      <w:r w:rsidR="00005D00" w:rsidRPr="00CC2595">
        <w:rPr>
          <w:rFonts w:ascii="Times New Roman" w:eastAsia="Times New Roman" w:hAnsi="Times New Roman" w:cs="Times New Roman"/>
          <w:color w:val="0B0C0C"/>
          <w:sz w:val="28"/>
          <w:szCs w:val="28"/>
          <w:lang w:val="en-US"/>
        </w:rPr>
        <w:t>For the purposes of subheading 2701 11, ‘anthracite’ means coal having a volatile matter limit (on a dry, mineral-matter-free basis) not exceeding 14%.</w:t>
      </w:r>
    </w:p>
    <w:p w:rsidR="00005D00" w:rsidRPr="00CC2595" w:rsidRDefault="00005D00" w:rsidP="00CC2595">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2. For the purposes of subheading 2701 12, ‘bituminous coal’ means coal having a volatile matter limit (on a dry, mineral-matter-free basis) exceeding 14% and a colorific value limit (on a moist, mineral-matter-free basis) equal to or greater than 5,833 Kcal/kg.</w:t>
      </w:r>
    </w:p>
    <w:p w:rsidR="00005D00" w:rsidRPr="00CC2595" w:rsidRDefault="00005D00" w:rsidP="00CC2595">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3. For the purposes of subheadings 2707 10, 2707 20, 2707 30 and 2707 40, the terms ‘benzol (benzene)’, ‘toluol (toluene)’, ‘xylol (xylenes)’ and ‘naphthalene’ apply to products which contain more than 50% by weight of benzene, toluene, xylenes or naphthalene, respectively</w:t>
      </w:r>
    </w:p>
    <w:p w:rsidR="00005D00" w:rsidRPr="00CC2595" w:rsidRDefault="00A07715" w:rsidP="00CC2595">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lang w:val="en-US"/>
        </w:rPr>
        <w:t xml:space="preserve">4. </w:t>
      </w:r>
      <w:r w:rsidR="00005D00" w:rsidRPr="00CC2595">
        <w:rPr>
          <w:rFonts w:ascii="Times New Roman" w:eastAsia="Times New Roman" w:hAnsi="Times New Roman" w:cs="Times New Roman"/>
          <w:color w:val="0B0C0C"/>
          <w:sz w:val="28"/>
          <w:szCs w:val="28"/>
          <w:lang w:val="en-US"/>
        </w:rPr>
        <w:t>For the purposes of subheading 2710 12, ‘light oils and preparations’ are those of which 90% or more by volume (including losses) distil at 210°C (ASTM D 86 method).</w:t>
      </w:r>
    </w:p>
    <w:p w:rsidR="00005D00" w:rsidRPr="00CC2595" w:rsidRDefault="00005D00" w:rsidP="00CC2595">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5. For the purposes of the subheadings of heading 2710, the term ‘biodiesel’ means mono-alkyl esters of fatty acids of a kind used as a fuel, derived from animal or vegetables fats and oils whether or not used.</w:t>
      </w:r>
    </w:p>
    <w:p w:rsidR="00A07715" w:rsidRPr="00CC2595" w:rsidRDefault="00005D00" w:rsidP="00CC2595">
      <w:pPr>
        <w:spacing w:after="0" w:line="240" w:lineRule="auto"/>
        <w:ind w:left="284" w:hanging="284"/>
        <w:jc w:val="both"/>
        <w:rPr>
          <w:rFonts w:ascii="Times New Roman" w:hAnsi="Times New Roman" w:cs="Times New Roman"/>
          <w:b/>
          <w:sz w:val="28"/>
          <w:szCs w:val="28"/>
          <w:lang w:val="en-US"/>
        </w:rPr>
      </w:pPr>
      <w:r w:rsidRPr="00CC2595">
        <w:rPr>
          <w:rFonts w:ascii="Times New Roman" w:hAnsi="Times New Roman" w:cs="Times New Roman"/>
          <w:b/>
          <w:sz w:val="28"/>
          <w:szCs w:val="28"/>
          <w:lang w:val="en-US"/>
        </w:rPr>
        <w:lastRenderedPageBreak/>
        <w:t>Additional notes</w:t>
      </w:r>
      <w:r w:rsidR="00A07715" w:rsidRPr="00CC2595">
        <w:rPr>
          <w:rFonts w:ascii="Times New Roman" w:hAnsi="Times New Roman" w:cs="Times New Roman"/>
          <w:b/>
          <w:sz w:val="28"/>
          <w:szCs w:val="28"/>
          <w:lang w:val="en-US"/>
        </w:rPr>
        <w:t>:</w:t>
      </w:r>
    </w:p>
    <w:p w:rsidR="00005D00" w:rsidRPr="00CC2595" w:rsidRDefault="00A07715" w:rsidP="00CC2595">
      <w:pPr>
        <w:spacing w:after="0" w:line="240" w:lineRule="auto"/>
        <w:ind w:left="284" w:hanging="284"/>
        <w:jc w:val="both"/>
        <w:rPr>
          <w:rFonts w:ascii="Times New Roman" w:hAnsi="Times New Roman" w:cs="Times New Roman"/>
          <w:color w:val="0B0C0C"/>
          <w:sz w:val="28"/>
          <w:szCs w:val="28"/>
          <w:shd w:val="clear" w:color="auto" w:fill="FFFFFF"/>
          <w:lang w:val="en-US"/>
        </w:rPr>
      </w:pPr>
      <w:r w:rsidRPr="00CC2595">
        <w:rPr>
          <w:rFonts w:ascii="Times New Roman" w:hAnsi="Times New Roman" w:cs="Times New Roman"/>
          <w:sz w:val="28"/>
          <w:szCs w:val="28"/>
          <w:lang w:val="en-US"/>
        </w:rPr>
        <w:t xml:space="preserve">1. </w:t>
      </w:r>
      <w:r w:rsidR="00005D00" w:rsidRPr="00CC2595">
        <w:rPr>
          <w:rFonts w:ascii="Times New Roman" w:hAnsi="Times New Roman" w:cs="Times New Roman"/>
          <w:color w:val="0B0C0C"/>
          <w:sz w:val="28"/>
          <w:szCs w:val="28"/>
          <w:shd w:val="clear" w:color="auto" w:fill="FFFFFF"/>
          <w:lang w:val="en-US"/>
        </w:rPr>
        <w:t xml:space="preserve">For the purposes of subheading 2707 99 800 0 the term phenols applies to products which contain more than 50% by weight of phenols. </w:t>
      </w:r>
    </w:p>
    <w:p w:rsidR="00005D00" w:rsidRPr="00CC2595" w:rsidRDefault="00A07715" w:rsidP="00CC2595">
      <w:pPr>
        <w:spacing w:after="0" w:line="240" w:lineRule="auto"/>
        <w:ind w:left="284" w:hanging="284"/>
        <w:jc w:val="both"/>
        <w:rPr>
          <w:rFonts w:ascii="Times New Roman" w:eastAsia="Times New Roman" w:hAnsi="Times New Roman" w:cs="Times New Roman"/>
          <w:sz w:val="28"/>
          <w:szCs w:val="28"/>
          <w:lang w:val="en-US"/>
        </w:rPr>
      </w:pPr>
      <w:r w:rsidRPr="00CC2595">
        <w:rPr>
          <w:rFonts w:ascii="Times New Roman" w:hAnsi="Times New Roman" w:cs="Times New Roman"/>
          <w:sz w:val="28"/>
          <w:szCs w:val="28"/>
          <w:lang w:val="en-US"/>
        </w:rPr>
        <w:t xml:space="preserve">2. </w:t>
      </w:r>
      <w:r w:rsidR="00005D00" w:rsidRPr="00CC2595">
        <w:rPr>
          <w:rFonts w:ascii="Times New Roman" w:eastAsia="Times New Roman" w:hAnsi="Times New Roman" w:cs="Times New Roman"/>
          <w:color w:val="0B0C0C"/>
          <w:sz w:val="28"/>
          <w:szCs w:val="28"/>
          <w:shd w:val="clear" w:color="auto" w:fill="FFFFFF"/>
          <w:lang w:val="en-US"/>
        </w:rPr>
        <w:t>For the purposes of heading 2710:</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a) ‘special spirits’ (subheadings 2710 12 21</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and 2710 12 25</w:t>
      </w:r>
      <w:r w:rsidR="00D80200" w:rsidRPr="00CC2595">
        <w:rPr>
          <w:rFonts w:ascii="Times New Roman" w:eastAsia="Times New Roman" w:hAnsi="Times New Roman" w:cs="Times New Roman"/>
          <w:color w:val="0B0C0C"/>
          <w:sz w:val="28"/>
          <w:szCs w:val="28"/>
          <w:lang w:val="en-US"/>
        </w:rPr>
        <w:t>0</w:t>
      </w:r>
      <w:r w:rsidRPr="00CC2595">
        <w:rPr>
          <w:rFonts w:ascii="Times New Roman" w:eastAsia="Times New Roman" w:hAnsi="Times New Roman" w:cs="Times New Roman"/>
          <w:color w:val="0B0C0C"/>
          <w:sz w:val="28"/>
          <w:szCs w:val="28"/>
          <w:lang w:val="en-US"/>
        </w:rPr>
        <w:t>) means light oils as defined in subheading note 4 to this chapter, not containing any anti-knock preparations, and with a difference of not more than 60° C between the temperatures at which 5% and 90% by volume (including losses) distil;</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b) ‘white spirit’ (subheading 2710 12 21</w:t>
      </w:r>
      <w:r w:rsidR="00D80200" w:rsidRPr="00CC2595">
        <w:rPr>
          <w:rFonts w:ascii="Times New Roman" w:eastAsia="Times New Roman" w:hAnsi="Times New Roman" w:cs="Times New Roman"/>
          <w:color w:val="0B0C0C"/>
          <w:sz w:val="28"/>
          <w:szCs w:val="28"/>
          <w:lang w:val="en-US"/>
        </w:rPr>
        <w:t>0</w:t>
      </w:r>
      <w:r w:rsidRPr="00CC2595">
        <w:rPr>
          <w:rFonts w:ascii="Times New Roman" w:eastAsia="Times New Roman" w:hAnsi="Times New Roman" w:cs="Times New Roman"/>
          <w:color w:val="0B0C0C"/>
          <w:sz w:val="28"/>
          <w:szCs w:val="28"/>
          <w:lang w:val="en-US"/>
        </w:rPr>
        <w:t>) means special spirits as defined in paragraph (a) above with a flash-point higher than 21° C by the EN ISO 13736 method</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c) ‘medium oils’ (subheadings 2710 19 11</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to 2710 19 29</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means oils and preparations of which less than 90% by volume (including losses) distils at 210° C and 65% or more by volume (including losses) distils at 250° C (ISO 3405 method equivalent to the ASTM D 86 method);</w:t>
      </w:r>
    </w:p>
    <w:p w:rsidR="00005D00"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d) ‘heavy oils’ (subheadings 2710 19 31</w:t>
      </w:r>
      <w:r w:rsidR="00D80200" w:rsidRPr="00CC2595">
        <w:rPr>
          <w:rFonts w:ascii="Times New Roman" w:eastAsia="Times New Roman" w:hAnsi="Times New Roman" w:cs="Times New Roman"/>
          <w:color w:val="0B0C0C"/>
          <w:sz w:val="28"/>
          <w:szCs w:val="28"/>
          <w:lang w:val="en-US"/>
        </w:rPr>
        <w:t>0 0 to 2710 19 980 0</w:t>
      </w:r>
      <w:r w:rsidRPr="00CC2595">
        <w:rPr>
          <w:rFonts w:ascii="Times New Roman" w:eastAsia="Times New Roman" w:hAnsi="Times New Roman" w:cs="Times New Roman"/>
          <w:color w:val="0B0C0C"/>
          <w:sz w:val="28"/>
          <w:szCs w:val="28"/>
          <w:lang w:val="en-US"/>
        </w:rPr>
        <w:t xml:space="preserve"> and 2710 2011</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to 2710 2090</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means oils and preparations of which less than 65% by volume (including losses) distils at 250° C by the ISO 3405 method (equivalent to the ASTM D 86 method) or of which the distillation percentage at 250° C cannot be determined by that method;</w:t>
      </w:r>
    </w:p>
    <w:p w:rsidR="00A07715" w:rsidRPr="00CC2595" w:rsidRDefault="00005D00" w:rsidP="00CC2595">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e) ‘gas oils’ (subheadings 2710 19 31</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to 2710 19 48</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and 2710 2011</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xml:space="preserve"> to 2710 2019</w:t>
      </w:r>
      <w:r w:rsidR="00D80200" w:rsidRPr="00CC2595">
        <w:rPr>
          <w:rFonts w:ascii="Times New Roman" w:eastAsia="Times New Roman" w:hAnsi="Times New Roman" w:cs="Times New Roman"/>
          <w:color w:val="0B0C0C"/>
          <w:sz w:val="28"/>
          <w:szCs w:val="28"/>
          <w:lang w:val="en-US"/>
        </w:rPr>
        <w:t>0 0</w:t>
      </w:r>
      <w:r w:rsidRPr="00CC2595">
        <w:rPr>
          <w:rFonts w:ascii="Times New Roman" w:eastAsia="Times New Roman" w:hAnsi="Times New Roman" w:cs="Times New Roman"/>
          <w:color w:val="0B0C0C"/>
          <w:sz w:val="28"/>
          <w:szCs w:val="28"/>
          <w:lang w:val="en-US"/>
        </w:rPr>
        <w:t>) mean heavy oils as defined in paragraph (d) above of which 85% or more by volume (including losses) distils at 350° C (ISO 3405 method (equivalent to the ASTM D 86 method);</w:t>
      </w:r>
    </w:p>
    <w:p w:rsidR="00D80200" w:rsidRPr="00CC2595" w:rsidRDefault="00D80200" w:rsidP="00CC2595">
      <w:pPr>
        <w:spacing w:after="0" w:line="240" w:lineRule="auto"/>
        <w:ind w:left="567" w:hanging="284"/>
        <w:jc w:val="both"/>
        <w:rPr>
          <w:rFonts w:ascii="Times New Roman" w:hAnsi="Times New Roman" w:cs="Times New Roman"/>
          <w:color w:val="0B0C0C"/>
          <w:sz w:val="28"/>
          <w:szCs w:val="28"/>
          <w:shd w:val="clear" w:color="auto" w:fill="FFFFFF"/>
          <w:lang w:val="en-US"/>
        </w:rPr>
      </w:pPr>
      <w:r w:rsidRPr="00CC2595">
        <w:rPr>
          <w:rFonts w:ascii="Times New Roman" w:hAnsi="Times New Roman" w:cs="Times New Roman"/>
          <w:color w:val="0B0C0C"/>
          <w:sz w:val="28"/>
          <w:szCs w:val="28"/>
          <w:shd w:val="clear" w:color="auto" w:fill="FFFFFF"/>
          <w:lang w:val="en-US"/>
        </w:rPr>
        <w:t xml:space="preserve">f) ‘fuel oils’ (subheadings 2710 19 510 to 2710 19 680 and 2710 20310 to 2710 20390) mean heavy oils as defined in paragraph (d) above (other than gas oils as defined in paragraph (e) above) which, for a corresponding diluted colour C, have a viscosity V: </w:t>
      </w:r>
    </w:p>
    <w:p w:rsidR="00D80200" w:rsidRPr="00CC2595" w:rsidRDefault="00A07715" w:rsidP="00CC2595">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lang w:val="en-US"/>
        </w:rPr>
        <w:t xml:space="preserve">– </w:t>
      </w:r>
      <w:r w:rsidR="00D80200" w:rsidRPr="00CC2595">
        <w:rPr>
          <w:rFonts w:ascii="Times New Roman" w:eastAsia="Times New Roman" w:hAnsi="Times New Roman" w:cs="Times New Roman"/>
          <w:color w:val="0B0C0C"/>
          <w:sz w:val="28"/>
          <w:szCs w:val="28"/>
          <w:lang w:val="en-US"/>
        </w:rPr>
        <w:t>not exceeding that shown in line I of the following table when the sulphated ashes content is less than 1% by the ISO 3987 method and the saponification index is less than 4 by the ISO 6293-1 or 6293-2 method,</w:t>
      </w:r>
    </w:p>
    <w:p w:rsidR="00A07715" w:rsidRPr="00CC2595" w:rsidRDefault="00A07715" w:rsidP="00CC2595">
      <w:pPr>
        <w:spacing w:after="0" w:line="240" w:lineRule="auto"/>
        <w:ind w:left="851"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 </w:t>
      </w:r>
      <w:r w:rsidR="00D80200" w:rsidRPr="00CC2595">
        <w:rPr>
          <w:rFonts w:ascii="Times New Roman" w:eastAsia="Times New Roman" w:hAnsi="Times New Roman" w:cs="Times New Roman"/>
          <w:color w:val="0B0C0C"/>
          <w:sz w:val="28"/>
          <w:szCs w:val="28"/>
          <w:lang w:val="en-US"/>
        </w:rPr>
        <w:t>exceeding that shown in line II when the pour point is not less than 10° C by the ISO 3016 method</w:t>
      </w:r>
      <w:r w:rsidRPr="00CC2595">
        <w:rPr>
          <w:rFonts w:ascii="Times New Roman" w:hAnsi="Times New Roman" w:cs="Times New Roman"/>
          <w:sz w:val="28"/>
          <w:szCs w:val="28"/>
          <w:lang w:val="en-US"/>
        </w:rPr>
        <w:t>;</w:t>
      </w:r>
    </w:p>
    <w:p w:rsidR="00A07715" w:rsidRDefault="00A07715" w:rsidP="00CC2595">
      <w:pPr>
        <w:spacing w:after="0" w:line="240" w:lineRule="auto"/>
        <w:ind w:left="851"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 </w:t>
      </w:r>
      <w:r w:rsidR="00D80200" w:rsidRPr="00CC2595">
        <w:rPr>
          <w:rFonts w:ascii="Times New Roman" w:eastAsia="Times New Roman" w:hAnsi="Times New Roman" w:cs="Times New Roman"/>
          <w:color w:val="0B0C0C"/>
          <w:sz w:val="28"/>
          <w:szCs w:val="28"/>
          <w:lang w:val="en-US"/>
        </w:rPr>
        <w:t>exceeding that shown in line I but not exceeding that shown in line II when 25% or</w:t>
      </w:r>
      <w:r w:rsidR="006E02E3">
        <w:rPr>
          <w:rFonts w:ascii="Times New Roman" w:eastAsia="Times New Roman" w:hAnsi="Times New Roman" w:cs="Times New Roman"/>
          <w:color w:val="0B0C0C"/>
          <w:sz w:val="28"/>
          <w:szCs w:val="28"/>
          <w:lang w:val="en-US"/>
        </w:rPr>
        <w:t xml:space="preserve"> more by volume distils at 300°</w:t>
      </w:r>
      <w:r w:rsidR="00D80200" w:rsidRPr="00CC2595">
        <w:rPr>
          <w:rFonts w:ascii="Times New Roman" w:eastAsia="Times New Roman" w:hAnsi="Times New Roman" w:cs="Times New Roman"/>
          <w:color w:val="0B0C0C"/>
          <w:sz w:val="28"/>
          <w:szCs w:val="28"/>
          <w:lang w:val="en-US"/>
        </w:rPr>
        <w:t>C by the ISO 3405 method (equivalent to the ASTM D 86 method) or, if less tha</w:t>
      </w:r>
      <w:r w:rsidR="006E02E3">
        <w:rPr>
          <w:rFonts w:ascii="Times New Roman" w:eastAsia="Times New Roman" w:hAnsi="Times New Roman" w:cs="Times New Roman"/>
          <w:color w:val="0B0C0C"/>
          <w:sz w:val="28"/>
          <w:szCs w:val="28"/>
          <w:lang w:val="en-US"/>
        </w:rPr>
        <w:t>n 25% by volume distils at 300°</w:t>
      </w:r>
      <w:r w:rsidR="00D80200" w:rsidRPr="00CC2595">
        <w:rPr>
          <w:rFonts w:ascii="Times New Roman" w:eastAsia="Times New Roman" w:hAnsi="Times New Roman" w:cs="Times New Roman"/>
          <w:color w:val="0B0C0C"/>
          <w:sz w:val="28"/>
          <w:szCs w:val="28"/>
          <w:lang w:val="en-US"/>
        </w:rPr>
        <w:t xml:space="preserve">C, when the pour point </w:t>
      </w:r>
      <w:r w:rsidR="006E02E3">
        <w:rPr>
          <w:rFonts w:ascii="Times New Roman" w:eastAsia="Times New Roman" w:hAnsi="Times New Roman" w:cs="Times New Roman"/>
          <w:color w:val="0B0C0C"/>
          <w:sz w:val="28"/>
          <w:szCs w:val="28"/>
          <w:lang w:val="en-US"/>
        </w:rPr>
        <w:t>is higher than 10°</w:t>
      </w:r>
      <w:r w:rsidR="00D80200" w:rsidRPr="00CC2595">
        <w:rPr>
          <w:rFonts w:ascii="Times New Roman" w:eastAsia="Times New Roman" w:hAnsi="Times New Roman" w:cs="Times New Roman"/>
          <w:color w:val="0B0C0C"/>
          <w:sz w:val="28"/>
          <w:szCs w:val="28"/>
          <w:lang w:val="en-US"/>
        </w:rPr>
        <w:t>C below zero by the ISO 3016 method. These provisions apply only to oils having a diluted colour C of less than 2</w:t>
      </w:r>
      <w:r w:rsidRPr="00CC2595">
        <w:rPr>
          <w:rFonts w:ascii="Times New Roman" w:hAnsi="Times New Roman" w:cs="Times New Roman"/>
          <w:sz w:val="28"/>
          <w:szCs w:val="28"/>
          <w:lang w:val="en-US"/>
        </w:rPr>
        <w:t xml:space="preserve">. </w:t>
      </w: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Default="006E02E3" w:rsidP="00CC2595">
      <w:pPr>
        <w:spacing w:after="0" w:line="240" w:lineRule="auto"/>
        <w:ind w:left="851" w:hanging="284"/>
        <w:jc w:val="both"/>
        <w:rPr>
          <w:rFonts w:ascii="Times New Roman" w:hAnsi="Times New Roman" w:cs="Times New Roman"/>
          <w:sz w:val="28"/>
          <w:szCs w:val="28"/>
          <w:lang w:val="en-US"/>
        </w:rPr>
      </w:pPr>
    </w:p>
    <w:p w:rsidR="006E02E3" w:rsidRPr="006E02E3" w:rsidRDefault="006E02E3" w:rsidP="006E02E3">
      <w:pPr>
        <w:spacing w:after="0" w:line="240" w:lineRule="auto"/>
        <w:jc w:val="center"/>
        <w:rPr>
          <w:rFonts w:ascii="Times New Roman" w:hAnsi="Times New Roman" w:cs="Times New Roman"/>
          <w:sz w:val="28"/>
          <w:szCs w:val="28"/>
          <w:lang w:val="en-US"/>
        </w:rPr>
      </w:pPr>
      <w:r w:rsidRPr="006E02E3">
        <w:rPr>
          <w:rFonts w:ascii="Times New Roman" w:hAnsi="Times New Roman" w:cs="Times New Roman"/>
          <w:sz w:val="28"/>
          <w:szCs w:val="28"/>
          <w:lang w:val="en-US"/>
        </w:rPr>
        <w:lastRenderedPageBreak/>
        <w:t>Table of compliance colorimetric characteristics</w:t>
      </w:r>
    </w:p>
    <w:p w:rsidR="00CC2595" w:rsidRDefault="006E02E3" w:rsidP="006E02E3">
      <w:pPr>
        <w:spacing w:after="0" w:line="240" w:lineRule="auto"/>
        <w:jc w:val="center"/>
        <w:rPr>
          <w:rFonts w:ascii="Times New Roman" w:hAnsi="Times New Roman" w:cs="Times New Roman"/>
          <w:sz w:val="28"/>
          <w:szCs w:val="28"/>
          <w:lang w:val="en-US"/>
        </w:rPr>
      </w:pPr>
      <w:r w:rsidRPr="006E02E3">
        <w:rPr>
          <w:rFonts w:ascii="Times New Roman" w:hAnsi="Times New Roman" w:cs="Times New Roman"/>
          <w:sz w:val="28"/>
          <w:szCs w:val="28"/>
          <w:lang w:val="en-US"/>
        </w:rPr>
        <w:t>in a solution K and toughness B</w:t>
      </w:r>
    </w:p>
    <w:p w:rsidR="006E02E3" w:rsidRDefault="006E02E3" w:rsidP="006E02E3">
      <w:pPr>
        <w:spacing w:after="0" w:line="240" w:lineRule="auto"/>
        <w:jc w:val="center"/>
        <w:rPr>
          <w:rFonts w:ascii="Times New Roman" w:hAnsi="Times New Roman" w:cs="Times New Roman"/>
          <w:sz w:val="28"/>
          <w:szCs w:val="28"/>
          <w:lang w:val="en-US"/>
        </w:rPr>
      </w:pPr>
    </w:p>
    <w:tbl>
      <w:tblPr>
        <w:tblStyle w:val="a4"/>
        <w:tblW w:w="9608" w:type="dxa"/>
        <w:tblLook w:val="04A0" w:firstRow="1" w:lastRow="0" w:firstColumn="1" w:lastColumn="0" w:noHBand="0" w:noVBand="1"/>
      </w:tblPr>
      <w:tblGrid>
        <w:gridCol w:w="1366"/>
        <w:gridCol w:w="378"/>
        <w:gridCol w:w="356"/>
        <w:gridCol w:w="489"/>
        <w:gridCol w:w="351"/>
        <w:gridCol w:w="470"/>
        <w:gridCol w:w="351"/>
        <w:gridCol w:w="533"/>
        <w:gridCol w:w="533"/>
        <w:gridCol w:w="533"/>
        <w:gridCol w:w="533"/>
        <w:gridCol w:w="488"/>
        <w:gridCol w:w="488"/>
        <w:gridCol w:w="488"/>
        <w:gridCol w:w="488"/>
        <w:gridCol w:w="488"/>
        <w:gridCol w:w="578"/>
        <w:gridCol w:w="697"/>
      </w:tblGrid>
      <w:tr w:rsidR="006E02E3" w:rsidTr="006E02E3">
        <w:trPr>
          <w:trHeight w:val="960"/>
        </w:trPr>
        <w:tc>
          <w:tcPr>
            <w:tcW w:w="1366" w:type="dxa"/>
            <w:tcBorders>
              <w:top w:val="single" w:sz="12" w:space="0" w:color="auto"/>
              <w:left w:val="single" w:sz="12" w:space="0" w:color="auto"/>
              <w:right w:val="single" w:sz="12" w:space="0" w:color="auto"/>
            </w:tcBorders>
            <w:vAlign w:val="center"/>
          </w:tcPr>
          <w:p w:rsidR="00CC2595" w:rsidRPr="00CC2595" w:rsidRDefault="00CC2595" w:rsidP="00CC2595">
            <w:pPr>
              <w:rPr>
                <w:rFonts w:ascii="Times New Roman" w:hAnsi="Times New Roman" w:cs="Times New Roman"/>
                <w:sz w:val="20"/>
                <w:szCs w:val="20"/>
                <w:lang w:val="en-US"/>
              </w:rPr>
            </w:pPr>
            <w:r w:rsidRPr="00CC2595">
              <w:rPr>
                <w:rFonts w:ascii="Times New Roman" w:hAnsi="Times New Roman" w:cs="Times New Roman"/>
                <w:sz w:val="20"/>
                <w:szCs w:val="20"/>
                <w:lang w:val="en-US"/>
              </w:rPr>
              <w:t>Colorimetric</w:t>
            </w:r>
          </w:p>
          <w:p w:rsidR="00CC2595" w:rsidRPr="00CC2595" w:rsidRDefault="00CC2595" w:rsidP="00CC2595">
            <w:pPr>
              <w:rPr>
                <w:rFonts w:ascii="Times New Roman" w:hAnsi="Times New Roman" w:cs="Times New Roman"/>
                <w:sz w:val="20"/>
                <w:szCs w:val="20"/>
                <w:lang w:val="en-US"/>
              </w:rPr>
            </w:pPr>
            <w:r w:rsidRPr="00CC2595">
              <w:rPr>
                <w:rFonts w:ascii="Times New Roman" w:hAnsi="Times New Roman" w:cs="Times New Roman"/>
                <w:sz w:val="20"/>
                <w:szCs w:val="20"/>
                <w:lang w:val="en-US"/>
              </w:rPr>
              <w:t>characteristics</w:t>
            </w:r>
          </w:p>
        </w:tc>
        <w:tc>
          <w:tcPr>
            <w:tcW w:w="378" w:type="dxa"/>
            <w:tcBorders>
              <w:top w:val="single" w:sz="12" w:space="0" w:color="auto"/>
              <w:left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p>
        </w:tc>
        <w:tc>
          <w:tcPr>
            <w:tcW w:w="356"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sidRPr="00CC2595">
              <w:rPr>
                <w:rFonts w:ascii="Times New Roman" w:hAnsi="Times New Roman" w:cs="Times New Roman"/>
                <w:sz w:val="20"/>
                <w:szCs w:val="20"/>
                <w:lang w:val="en-US"/>
              </w:rPr>
              <w:t>0</w:t>
            </w:r>
          </w:p>
        </w:tc>
        <w:tc>
          <w:tcPr>
            <w:tcW w:w="489"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0,5</w:t>
            </w:r>
          </w:p>
        </w:tc>
        <w:tc>
          <w:tcPr>
            <w:tcW w:w="351"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470"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1,5</w:t>
            </w:r>
          </w:p>
        </w:tc>
        <w:tc>
          <w:tcPr>
            <w:tcW w:w="351"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533"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2,5</w:t>
            </w:r>
          </w:p>
        </w:tc>
        <w:tc>
          <w:tcPr>
            <w:tcW w:w="533"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3</w:t>
            </w:r>
          </w:p>
        </w:tc>
        <w:tc>
          <w:tcPr>
            <w:tcW w:w="533"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3,5</w:t>
            </w:r>
          </w:p>
        </w:tc>
        <w:tc>
          <w:tcPr>
            <w:tcW w:w="533"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488"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4,5</w:t>
            </w:r>
          </w:p>
        </w:tc>
        <w:tc>
          <w:tcPr>
            <w:tcW w:w="488"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5</w:t>
            </w:r>
          </w:p>
        </w:tc>
        <w:tc>
          <w:tcPr>
            <w:tcW w:w="488" w:type="dxa"/>
            <w:tcBorders>
              <w:top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5,5</w:t>
            </w:r>
          </w:p>
        </w:tc>
        <w:tc>
          <w:tcPr>
            <w:tcW w:w="488" w:type="dxa"/>
            <w:tcBorders>
              <w:top w:val="single" w:sz="12" w:space="0" w:color="auto"/>
              <w:right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6</w:t>
            </w:r>
          </w:p>
        </w:tc>
        <w:tc>
          <w:tcPr>
            <w:tcW w:w="488" w:type="dxa"/>
            <w:tcBorders>
              <w:top w:val="single" w:sz="12" w:space="0" w:color="auto"/>
              <w:left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6,5</w:t>
            </w:r>
          </w:p>
        </w:tc>
        <w:tc>
          <w:tcPr>
            <w:tcW w:w="578" w:type="dxa"/>
            <w:tcBorders>
              <w:top w:val="single" w:sz="12" w:space="0" w:color="auto"/>
              <w:right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697" w:type="dxa"/>
            <w:tcBorders>
              <w:top w:val="single" w:sz="12" w:space="0" w:color="auto"/>
              <w:left w:val="single" w:sz="12" w:space="0" w:color="auto"/>
              <w:right w:val="single" w:sz="12" w:space="0" w:color="auto"/>
            </w:tcBorders>
            <w:vAlign w:val="center"/>
          </w:tcPr>
          <w:p w:rsidR="00CC2595" w:rsidRPr="00CC2595" w:rsidRDefault="00CC2595"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7,5 and above</w:t>
            </w:r>
          </w:p>
        </w:tc>
      </w:tr>
      <w:tr w:rsidR="006E02E3" w:rsidTr="006E02E3">
        <w:trPr>
          <w:trHeight w:val="313"/>
        </w:trPr>
        <w:tc>
          <w:tcPr>
            <w:tcW w:w="1366" w:type="dxa"/>
            <w:vMerge w:val="restart"/>
            <w:tcBorders>
              <w:left w:val="single" w:sz="12" w:space="0" w:color="auto"/>
              <w:right w:val="single" w:sz="12" w:space="0" w:color="auto"/>
            </w:tcBorders>
            <w:vAlign w:val="center"/>
          </w:tcPr>
          <w:p w:rsidR="00CC2595" w:rsidRPr="00CC2595" w:rsidRDefault="006E02E3" w:rsidP="00CC2595">
            <w:pPr>
              <w:rPr>
                <w:rFonts w:ascii="Times New Roman" w:hAnsi="Times New Roman" w:cs="Times New Roman"/>
                <w:sz w:val="20"/>
                <w:szCs w:val="20"/>
                <w:lang w:val="en-US"/>
              </w:rPr>
            </w:pPr>
            <w:r w:rsidRPr="006E02E3">
              <w:rPr>
                <w:rFonts w:ascii="Times New Roman" w:hAnsi="Times New Roman" w:cs="Times New Roman"/>
                <w:sz w:val="20"/>
                <w:szCs w:val="20"/>
                <w:lang w:val="en-US"/>
              </w:rPr>
              <w:t>Viscosity</w:t>
            </w:r>
            <w:r>
              <w:rPr>
                <w:rFonts w:ascii="Times New Roman" w:hAnsi="Times New Roman" w:cs="Times New Roman"/>
                <w:sz w:val="20"/>
                <w:szCs w:val="20"/>
                <w:lang w:val="en-US"/>
              </w:rPr>
              <w:t xml:space="preserve"> B</w:t>
            </w:r>
          </w:p>
        </w:tc>
        <w:tc>
          <w:tcPr>
            <w:tcW w:w="378" w:type="dxa"/>
            <w:tcBorders>
              <w:left w:val="single" w:sz="12" w:space="0" w:color="auto"/>
            </w:tcBorders>
            <w:vAlign w:val="center"/>
          </w:tcPr>
          <w:p w:rsidR="00CC2595" w:rsidRPr="00CC2595" w:rsidRDefault="006E02E3" w:rsidP="00CC2595">
            <w:pPr>
              <w:jc w:val="center"/>
              <w:rPr>
                <w:rFonts w:ascii="Times New Roman" w:hAnsi="Times New Roman" w:cs="Times New Roman"/>
                <w:sz w:val="20"/>
                <w:szCs w:val="20"/>
                <w:lang w:val="en-US"/>
              </w:rPr>
            </w:pPr>
            <w:r>
              <w:rPr>
                <w:rFonts w:ascii="Times New Roman" w:hAnsi="Times New Roman" w:cs="Times New Roman"/>
                <w:sz w:val="20"/>
                <w:szCs w:val="20"/>
                <w:lang w:val="en-US"/>
              </w:rPr>
              <w:t>I</w:t>
            </w:r>
          </w:p>
        </w:tc>
        <w:tc>
          <w:tcPr>
            <w:tcW w:w="356"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4</w:t>
            </w:r>
          </w:p>
        </w:tc>
        <w:tc>
          <w:tcPr>
            <w:tcW w:w="489"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4</w:t>
            </w:r>
          </w:p>
        </w:tc>
        <w:tc>
          <w:tcPr>
            <w:tcW w:w="351"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4</w:t>
            </w:r>
          </w:p>
        </w:tc>
        <w:tc>
          <w:tcPr>
            <w:tcW w:w="470"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5,4</w:t>
            </w:r>
          </w:p>
        </w:tc>
        <w:tc>
          <w:tcPr>
            <w:tcW w:w="351"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9</w:t>
            </w:r>
          </w:p>
        </w:tc>
        <w:tc>
          <w:tcPr>
            <w:tcW w:w="533"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15,1</w:t>
            </w:r>
          </w:p>
        </w:tc>
        <w:tc>
          <w:tcPr>
            <w:tcW w:w="533"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25,3</w:t>
            </w:r>
          </w:p>
        </w:tc>
        <w:tc>
          <w:tcPr>
            <w:tcW w:w="533"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42,4</w:t>
            </w:r>
          </w:p>
        </w:tc>
        <w:tc>
          <w:tcPr>
            <w:tcW w:w="533"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71,1</w:t>
            </w:r>
          </w:p>
        </w:tc>
        <w:tc>
          <w:tcPr>
            <w:tcW w:w="488"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119</w:t>
            </w:r>
          </w:p>
        </w:tc>
        <w:tc>
          <w:tcPr>
            <w:tcW w:w="488"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200</w:t>
            </w:r>
          </w:p>
        </w:tc>
        <w:tc>
          <w:tcPr>
            <w:tcW w:w="488" w:type="dxa"/>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335</w:t>
            </w:r>
          </w:p>
        </w:tc>
        <w:tc>
          <w:tcPr>
            <w:tcW w:w="488" w:type="dxa"/>
            <w:tcBorders>
              <w:right w:val="single" w:sz="12" w:space="0" w:color="auto"/>
            </w:tcBorders>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562</w:t>
            </w:r>
          </w:p>
        </w:tc>
        <w:tc>
          <w:tcPr>
            <w:tcW w:w="488" w:type="dxa"/>
            <w:tcBorders>
              <w:left w:val="single" w:sz="12" w:space="0" w:color="auto"/>
            </w:tcBorders>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943</w:t>
            </w:r>
          </w:p>
        </w:tc>
        <w:tc>
          <w:tcPr>
            <w:tcW w:w="578" w:type="dxa"/>
            <w:tcBorders>
              <w:right w:val="single" w:sz="12" w:space="0" w:color="auto"/>
            </w:tcBorders>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1580</w:t>
            </w:r>
          </w:p>
        </w:tc>
        <w:tc>
          <w:tcPr>
            <w:tcW w:w="697" w:type="dxa"/>
            <w:tcBorders>
              <w:left w:val="single" w:sz="12" w:space="0" w:color="auto"/>
              <w:right w:val="single" w:sz="12" w:space="0" w:color="auto"/>
            </w:tcBorders>
            <w:vAlign w:val="center"/>
          </w:tcPr>
          <w:p w:rsidR="00CC2595"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2650</w:t>
            </w:r>
          </w:p>
        </w:tc>
      </w:tr>
      <w:tr w:rsidR="006E02E3" w:rsidTr="006E02E3">
        <w:trPr>
          <w:trHeight w:val="354"/>
        </w:trPr>
        <w:tc>
          <w:tcPr>
            <w:tcW w:w="1366" w:type="dxa"/>
            <w:vMerge/>
            <w:tcBorders>
              <w:left w:val="single" w:sz="12" w:space="0" w:color="auto"/>
              <w:bottom w:val="single" w:sz="12" w:space="0" w:color="auto"/>
              <w:right w:val="single" w:sz="12" w:space="0" w:color="auto"/>
            </w:tcBorders>
            <w:vAlign w:val="center"/>
          </w:tcPr>
          <w:p w:rsidR="006E02E3" w:rsidRPr="00CC2595" w:rsidRDefault="006E02E3" w:rsidP="006E02E3">
            <w:pPr>
              <w:rPr>
                <w:rFonts w:ascii="Times New Roman" w:hAnsi="Times New Roman" w:cs="Times New Roman"/>
                <w:sz w:val="20"/>
                <w:szCs w:val="20"/>
                <w:lang w:val="en-US"/>
              </w:rPr>
            </w:pPr>
          </w:p>
        </w:tc>
        <w:tc>
          <w:tcPr>
            <w:tcW w:w="378" w:type="dxa"/>
            <w:tcBorders>
              <w:left w:val="single" w:sz="12" w:space="0" w:color="auto"/>
              <w:bottom w:val="single" w:sz="12" w:space="0" w:color="auto"/>
            </w:tcBorders>
            <w:vAlign w:val="center"/>
          </w:tcPr>
          <w:p w:rsidR="006E02E3" w:rsidRPr="00CC2595" w:rsidRDefault="006E02E3" w:rsidP="006E02E3">
            <w:pPr>
              <w:jc w:val="center"/>
              <w:rPr>
                <w:rFonts w:ascii="Times New Roman" w:hAnsi="Times New Roman" w:cs="Times New Roman"/>
                <w:sz w:val="20"/>
                <w:szCs w:val="20"/>
                <w:lang w:val="en-US"/>
              </w:rPr>
            </w:pPr>
            <w:r>
              <w:rPr>
                <w:rFonts w:ascii="Times New Roman" w:hAnsi="Times New Roman" w:cs="Times New Roman"/>
                <w:sz w:val="20"/>
                <w:szCs w:val="20"/>
                <w:lang w:val="en-US"/>
              </w:rPr>
              <w:t>II</w:t>
            </w:r>
          </w:p>
        </w:tc>
        <w:tc>
          <w:tcPr>
            <w:tcW w:w="356"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Pr>
                <w:rFonts w:ascii="Times New Roman" w:hAnsi="Times New Roman" w:cs="Times New Roman"/>
                <w:sz w:val="18"/>
                <w:szCs w:val="20"/>
                <w:lang w:val="en-US"/>
              </w:rPr>
              <w:t>7</w:t>
            </w:r>
          </w:p>
        </w:tc>
        <w:tc>
          <w:tcPr>
            <w:tcW w:w="489"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Pr>
                <w:rFonts w:ascii="Times New Roman" w:hAnsi="Times New Roman" w:cs="Times New Roman"/>
                <w:sz w:val="18"/>
                <w:szCs w:val="20"/>
                <w:lang w:val="en-US"/>
              </w:rPr>
              <w:t>7</w:t>
            </w:r>
          </w:p>
        </w:tc>
        <w:tc>
          <w:tcPr>
            <w:tcW w:w="351"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Pr>
                <w:rFonts w:ascii="Times New Roman" w:hAnsi="Times New Roman" w:cs="Times New Roman"/>
                <w:sz w:val="18"/>
                <w:szCs w:val="20"/>
                <w:lang w:val="en-US"/>
              </w:rPr>
              <w:t>7</w:t>
            </w:r>
          </w:p>
        </w:tc>
        <w:tc>
          <w:tcPr>
            <w:tcW w:w="470"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Pr>
                <w:rFonts w:ascii="Times New Roman" w:hAnsi="Times New Roman" w:cs="Times New Roman"/>
                <w:sz w:val="18"/>
                <w:szCs w:val="20"/>
                <w:lang w:val="en-US"/>
              </w:rPr>
              <w:t>7</w:t>
            </w:r>
          </w:p>
        </w:tc>
        <w:tc>
          <w:tcPr>
            <w:tcW w:w="351"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Pr>
                <w:rFonts w:ascii="Times New Roman" w:hAnsi="Times New Roman" w:cs="Times New Roman"/>
                <w:sz w:val="18"/>
                <w:szCs w:val="20"/>
                <w:lang w:val="en-US"/>
              </w:rPr>
              <w:t>9</w:t>
            </w:r>
          </w:p>
        </w:tc>
        <w:tc>
          <w:tcPr>
            <w:tcW w:w="533"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15,1</w:t>
            </w:r>
          </w:p>
        </w:tc>
        <w:tc>
          <w:tcPr>
            <w:tcW w:w="533"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25,3</w:t>
            </w:r>
          </w:p>
        </w:tc>
        <w:tc>
          <w:tcPr>
            <w:tcW w:w="533"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42,4</w:t>
            </w:r>
          </w:p>
        </w:tc>
        <w:tc>
          <w:tcPr>
            <w:tcW w:w="533"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71,1</w:t>
            </w:r>
          </w:p>
        </w:tc>
        <w:tc>
          <w:tcPr>
            <w:tcW w:w="488"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119</w:t>
            </w:r>
          </w:p>
        </w:tc>
        <w:tc>
          <w:tcPr>
            <w:tcW w:w="488"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200</w:t>
            </w:r>
          </w:p>
        </w:tc>
        <w:tc>
          <w:tcPr>
            <w:tcW w:w="488" w:type="dxa"/>
            <w:tcBorders>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335</w:t>
            </w:r>
          </w:p>
        </w:tc>
        <w:tc>
          <w:tcPr>
            <w:tcW w:w="488" w:type="dxa"/>
            <w:tcBorders>
              <w:bottom w:val="single" w:sz="12" w:space="0" w:color="auto"/>
              <w:right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562</w:t>
            </w:r>
          </w:p>
        </w:tc>
        <w:tc>
          <w:tcPr>
            <w:tcW w:w="488" w:type="dxa"/>
            <w:tcBorders>
              <w:left w:val="single" w:sz="12" w:space="0" w:color="auto"/>
              <w:bottom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943</w:t>
            </w:r>
          </w:p>
        </w:tc>
        <w:tc>
          <w:tcPr>
            <w:tcW w:w="578" w:type="dxa"/>
            <w:tcBorders>
              <w:bottom w:val="single" w:sz="12" w:space="0" w:color="auto"/>
              <w:right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1580</w:t>
            </w:r>
          </w:p>
        </w:tc>
        <w:tc>
          <w:tcPr>
            <w:tcW w:w="697" w:type="dxa"/>
            <w:tcBorders>
              <w:left w:val="single" w:sz="12" w:space="0" w:color="auto"/>
              <w:bottom w:val="single" w:sz="12" w:space="0" w:color="auto"/>
              <w:right w:val="single" w:sz="12" w:space="0" w:color="auto"/>
            </w:tcBorders>
            <w:vAlign w:val="center"/>
          </w:tcPr>
          <w:p w:rsidR="006E02E3" w:rsidRPr="006E02E3" w:rsidRDefault="006E02E3" w:rsidP="006E02E3">
            <w:pPr>
              <w:jc w:val="center"/>
              <w:rPr>
                <w:rFonts w:ascii="Times New Roman" w:hAnsi="Times New Roman" w:cs="Times New Roman"/>
                <w:sz w:val="18"/>
                <w:szCs w:val="20"/>
                <w:lang w:val="en-US"/>
              </w:rPr>
            </w:pPr>
            <w:r w:rsidRPr="006E02E3">
              <w:rPr>
                <w:rFonts w:ascii="Times New Roman" w:hAnsi="Times New Roman" w:cs="Times New Roman"/>
                <w:sz w:val="18"/>
                <w:szCs w:val="20"/>
                <w:lang w:val="en-US"/>
              </w:rPr>
              <w:t>2650</w:t>
            </w:r>
          </w:p>
        </w:tc>
      </w:tr>
    </w:tbl>
    <w:p w:rsidR="00CC2595" w:rsidRPr="00CC2595" w:rsidRDefault="00CC2595" w:rsidP="00CC2595">
      <w:pPr>
        <w:spacing w:after="0" w:line="240" w:lineRule="auto"/>
        <w:jc w:val="both"/>
        <w:rPr>
          <w:rFonts w:ascii="Times New Roman" w:hAnsi="Times New Roman" w:cs="Times New Roman"/>
          <w:sz w:val="28"/>
          <w:szCs w:val="28"/>
          <w:lang w:val="en-US"/>
        </w:rPr>
      </w:pPr>
    </w:p>
    <w:p w:rsidR="00C25E3B" w:rsidRPr="00CC2595" w:rsidRDefault="006E02E3" w:rsidP="006E02E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The term ‘viscosity B</w:t>
      </w:r>
      <w:r w:rsidR="00C25E3B" w:rsidRPr="00CC2595">
        <w:rPr>
          <w:rFonts w:ascii="Times New Roman" w:eastAsia="Times New Roman" w:hAnsi="Times New Roman" w:cs="Times New Roman"/>
          <w:color w:val="0B0C0C"/>
          <w:sz w:val="28"/>
          <w:szCs w:val="28"/>
          <w:lang w:val="en-US"/>
        </w:rPr>
        <w:t>’ means t</w:t>
      </w:r>
      <w:r>
        <w:rPr>
          <w:rFonts w:ascii="Times New Roman" w:eastAsia="Times New Roman" w:hAnsi="Times New Roman" w:cs="Times New Roman"/>
          <w:color w:val="0B0C0C"/>
          <w:sz w:val="28"/>
          <w:szCs w:val="28"/>
          <w:lang w:val="en-US"/>
        </w:rPr>
        <w:t>he ‘kinematic viscosity’ at 50°</w:t>
      </w:r>
      <w:r w:rsidR="00C25E3B" w:rsidRPr="00CC2595">
        <w:rPr>
          <w:rFonts w:ascii="Times New Roman" w:eastAsia="Times New Roman" w:hAnsi="Times New Roman" w:cs="Times New Roman"/>
          <w:color w:val="0B0C0C"/>
          <w:sz w:val="28"/>
          <w:szCs w:val="28"/>
          <w:lang w:val="en-US"/>
        </w:rPr>
        <w:t>C expressed in 10-6 m</w:t>
      </w:r>
      <w:r w:rsidR="00C25E3B" w:rsidRPr="006E02E3">
        <w:rPr>
          <w:rFonts w:ascii="Times New Roman" w:eastAsia="Times New Roman" w:hAnsi="Times New Roman" w:cs="Times New Roman"/>
          <w:color w:val="0B0C0C"/>
          <w:sz w:val="28"/>
          <w:szCs w:val="28"/>
          <w:vertAlign w:val="superscript"/>
          <w:lang w:val="en-US"/>
        </w:rPr>
        <w:t>2</w:t>
      </w:r>
      <w:r w:rsidR="00C25E3B" w:rsidRPr="00CC2595">
        <w:rPr>
          <w:rFonts w:ascii="Times New Roman" w:eastAsia="Times New Roman" w:hAnsi="Times New Roman" w:cs="Times New Roman"/>
          <w:color w:val="0B0C0C"/>
          <w:sz w:val="28"/>
          <w:szCs w:val="28"/>
          <w:lang w:val="en-US"/>
        </w:rPr>
        <w:t xml:space="preserve"> s-1 by the EN ISO 3104 method.</w:t>
      </w:r>
    </w:p>
    <w:p w:rsidR="00C25E3B" w:rsidRPr="00CC2595" w:rsidRDefault="006E02E3" w:rsidP="006E02E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The term ‘diluted color K</w:t>
      </w:r>
      <w:r w:rsidR="00C25E3B" w:rsidRPr="00CC2595">
        <w:rPr>
          <w:rFonts w:ascii="Times New Roman" w:eastAsia="Times New Roman" w:hAnsi="Times New Roman" w:cs="Times New Roman"/>
          <w:color w:val="0B0C0C"/>
          <w:sz w:val="28"/>
          <w:szCs w:val="28"/>
          <w:lang w:val="en-US"/>
        </w:rPr>
        <w:t>’ means the color of a product, as determined by the ASTM D 1500 method, after one part of such product has been mixed with 100 parts by volume of xylene, toluene or another suitable solvent. The color must be determined immediately after dilution.</w:t>
      </w:r>
    </w:p>
    <w:p w:rsidR="00C25E3B" w:rsidRPr="00CC2595" w:rsidRDefault="00C25E3B" w:rsidP="006E02E3">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Subheading 2710 19 510 to 2710 19 680 and 2710 20310 to 2710 20390 cover only fuel oils of natural color</w:t>
      </w:r>
    </w:p>
    <w:p w:rsidR="00A07715" w:rsidRPr="00CC2595" w:rsidRDefault="00C25E3B"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 </w:t>
      </w:r>
    </w:p>
    <w:p w:rsidR="00A07715" w:rsidRPr="00CC2595" w:rsidRDefault="00C25E3B"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color w:val="0B0C0C"/>
          <w:sz w:val="28"/>
          <w:szCs w:val="28"/>
          <w:shd w:val="clear" w:color="auto" w:fill="FFFFFF"/>
          <w:lang w:val="en-US"/>
        </w:rPr>
        <w:t>These subheadings do not cover heavy oils defined in paragraph (d) above for which it is not possible to determine</w:t>
      </w:r>
      <w:r w:rsidR="00A07715" w:rsidRPr="00CC2595">
        <w:rPr>
          <w:rFonts w:ascii="Times New Roman" w:hAnsi="Times New Roman" w:cs="Times New Roman"/>
          <w:sz w:val="28"/>
          <w:szCs w:val="28"/>
          <w:lang w:val="en-US"/>
        </w:rPr>
        <w:t>:</w:t>
      </w:r>
    </w:p>
    <w:p w:rsidR="00A07715" w:rsidRPr="00CC2595" w:rsidRDefault="00A07715"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 </w:t>
      </w:r>
      <w:r w:rsidR="00C25E3B" w:rsidRPr="00CC2595">
        <w:rPr>
          <w:rFonts w:ascii="Times New Roman" w:hAnsi="Times New Roman" w:cs="Times New Roman"/>
          <w:color w:val="0B0C0C"/>
          <w:sz w:val="28"/>
          <w:szCs w:val="28"/>
          <w:shd w:val="clear" w:color="auto" w:fill="FFFFFF"/>
          <w:lang w:val="en-US"/>
        </w:rPr>
        <w:t>the dist</w:t>
      </w:r>
      <w:r w:rsidR="006E02E3">
        <w:rPr>
          <w:rFonts w:ascii="Times New Roman" w:hAnsi="Times New Roman" w:cs="Times New Roman"/>
          <w:color w:val="0B0C0C"/>
          <w:sz w:val="28"/>
          <w:szCs w:val="28"/>
          <w:shd w:val="clear" w:color="auto" w:fill="FFFFFF"/>
          <w:lang w:val="en-US"/>
        </w:rPr>
        <w:t>illation percentage at 250°</w:t>
      </w:r>
      <w:r w:rsidR="00C25E3B" w:rsidRPr="00CC2595">
        <w:rPr>
          <w:rFonts w:ascii="Times New Roman" w:hAnsi="Times New Roman" w:cs="Times New Roman"/>
          <w:color w:val="0B0C0C"/>
          <w:sz w:val="28"/>
          <w:szCs w:val="28"/>
          <w:shd w:val="clear" w:color="auto" w:fill="FFFFFF"/>
          <w:lang w:val="en-US"/>
        </w:rPr>
        <w:t>C by the EN ISO 3104 method (zero shall be deemed to be a percentage)</w:t>
      </w:r>
      <w:r w:rsidRPr="00CC2595">
        <w:rPr>
          <w:rFonts w:ascii="Times New Roman" w:hAnsi="Times New Roman" w:cs="Times New Roman"/>
          <w:sz w:val="28"/>
          <w:szCs w:val="28"/>
          <w:lang w:val="en-US"/>
        </w:rPr>
        <w:t>;</w:t>
      </w:r>
    </w:p>
    <w:p w:rsidR="00A07715" w:rsidRPr="00CC2595" w:rsidRDefault="00A07715"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w:t>
      </w:r>
      <w:r w:rsidR="00C25E3B" w:rsidRPr="00CC2595">
        <w:rPr>
          <w:rFonts w:ascii="Times New Roman" w:hAnsi="Times New Roman" w:cs="Times New Roman"/>
          <w:sz w:val="28"/>
          <w:szCs w:val="28"/>
          <w:lang w:val="en-US"/>
        </w:rPr>
        <w:t>t</w:t>
      </w:r>
      <w:r w:rsidR="006E02E3">
        <w:rPr>
          <w:rFonts w:ascii="Times New Roman" w:hAnsi="Times New Roman" w:cs="Times New Roman"/>
          <w:color w:val="0B0C0C"/>
          <w:sz w:val="28"/>
          <w:szCs w:val="28"/>
          <w:shd w:val="clear" w:color="auto" w:fill="FFFFFF"/>
          <w:lang w:val="en-US"/>
        </w:rPr>
        <w:t>he kinematic viscosity at 50°</w:t>
      </w:r>
      <w:r w:rsidR="00C25E3B" w:rsidRPr="00CC2595">
        <w:rPr>
          <w:rFonts w:ascii="Times New Roman" w:hAnsi="Times New Roman" w:cs="Times New Roman"/>
          <w:color w:val="0B0C0C"/>
          <w:sz w:val="28"/>
          <w:szCs w:val="28"/>
          <w:shd w:val="clear" w:color="auto" w:fill="FFFFFF"/>
          <w:lang w:val="en-US"/>
        </w:rPr>
        <w:t>C by the EN ISO 3104 method</w:t>
      </w:r>
      <w:r w:rsidRPr="00CC2595">
        <w:rPr>
          <w:rFonts w:ascii="Times New Roman" w:hAnsi="Times New Roman" w:cs="Times New Roman"/>
          <w:sz w:val="28"/>
          <w:szCs w:val="28"/>
          <w:lang w:val="en-US"/>
        </w:rPr>
        <w:t xml:space="preserve">; </w:t>
      </w:r>
      <w:r w:rsidR="00C25E3B" w:rsidRPr="00CC2595">
        <w:rPr>
          <w:rFonts w:ascii="Times New Roman" w:hAnsi="Times New Roman" w:cs="Times New Roman"/>
          <w:sz w:val="28"/>
          <w:szCs w:val="28"/>
          <w:lang w:val="en-US"/>
        </w:rPr>
        <w:t>or</w:t>
      </w:r>
    </w:p>
    <w:p w:rsidR="00A07715" w:rsidRPr="00CC2595" w:rsidRDefault="00A07715"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 </w:t>
      </w:r>
      <w:r w:rsidR="006E02E3">
        <w:rPr>
          <w:rFonts w:ascii="Times New Roman" w:hAnsi="Times New Roman" w:cs="Times New Roman"/>
          <w:color w:val="0B0C0C"/>
          <w:sz w:val="28"/>
          <w:szCs w:val="28"/>
          <w:shd w:val="clear" w:color="auto" w:fill="FFFFFF"/>
          <w:lang w:val="en-US"/>
        </w:rPr>
        <w:t>or the diluted color K</w:t>
      </w:r>
      <w:r w:rsidR="00C25E3B" w:rsidRPr="00CC2595">
        <w:rPr>
          <w:rFonts w:ascii="Times New Roman" w:hAnsi="Times New Roman" w:cs="Times New Roman"/>
          <w:color w:val="0B0C0C"/>
          <w:sz w:val="28"/>
          <w:szCs w:val="28"/>
          <w:shd w:val="clear" w:color="auto" w:fill="FFFFFF"/>
          <w:lang w:val="en-US"/>
        </w:rPr>
        <w:t xml:space="preserve"> by the ASTM D 1500 method</w:t>
      </w:r>
      <w:r w:rsidRPr="00CC2595">
        <w:rPr>
          <w:rFonts w:ascii="Times New Roman" w:hAnsi="Times New Roman" w:cs="Times New Roman"/>
          <w:sz w:val="28"/>
          <w:szCs w:val="28"/>
          <w:lang w:val="en-US"/>
        </w:rPr>
        <w:t>.</w:t>
      </w:r>
    </w:p>
    <w:p w:rsidR="00A07715" w:rsidRPr="00CC2595" w:rsidRDefault="00C25E3B" w:rsidP="006E02E3">
      <w:pPr>
        <w:spacing w:after="0" w:line="240" w:lineRule="auto"/>
        <w:ind w:left="284" w:firstLine="425"/>
        <w:jc w:val="both"/>
        <w:rPr>
          <w:rFonts w:ascii="Times New Roman" w:hAnsi="Times New Roman" w:cs="Times New Roman"/>
          <w:sz w:val="28"/>
          <w:szCs w:val="28"/>
          <w:lang w:val="en-US"/>
        </w:rPr>
      </w:pPr>
      <w:r w:rsidRPr="00CC2595">
        <w:rPr>
          <w:rFonts w:ascii="Times New Roman" w:hAnsi="Times New Roman" w:cs="Times New Roman"/>
          <w:color w:val="0B0C0C"/>
          <w:sz w:val="28"/>
          <w:szCs w:val="28"/>
          <w:shd w:val="clear" w:color="auto" w:fill="FFFFFF"/>
          <w:lang w:val="en-US"/>
        </w:rPr>
        <w:t xml:space="preserve">Such products fall in subheadings </w:t>
      </w:r>
      <w:r w:rsidR="00A07715" w:rsidRPr="00CC2595">
        <w:rPr>
          <w:rFonts w:ascii="Times New Roman" w:hAnsi="Times New Roman" w:cs="Times New Roman"/>
          <w:sz w:val="28"/>
          <w:szCs w:val="28"/>
          <w:lang w:val="en-US"/>
        </w:rPr>
        <w:t>2710 19 710 0 – 2710 19 980 0</w:t>
      </w:r>
      <w:r w:rsidRPr="00CC2595">
        <w:rPr>
          <w:rFonts w:ascii="Times New Roman" w:hAnsi="Times New Roman" w:cs="Times New Roman"/>
          <w:sz w:val="28"/>
          <w:szCs w:val="28"/>
          <w:lang w:val="en-US"/>
        </w:rPr>
        <w:t xml:space="preserve"> or</w:t>
      </w:r>
      <w:r w:rsidR="00A07715" w:rsidRPr="00CC2595">
        <w:rPr>
          <w:rFonts w:ascii="Times New Roman" w:hAnsi="Times New Roman" w:cs="Times New Roman"/>
          <w:sz w:val="28"/>
          <w:szCs w:val="28"/>
          <w:lang w:val="en-US"/>
        </w:rPr>
        <w:t xml:space="preserve"> 2710 20 900 0.</w:t>
      </w:r>
    </w:p>
    <w:p w:rsidR="00C25E3B" w:rsidRPr="00CC2595" w:rsidRDefault="00A07715" w:rsidP="006E02E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lang w:val="en-US"/>
        </w:rPr>
        <w:t xml:space="preserve">3. </w:t>
      </w:r>
      <w:r w:rsidR="00C25E3B" w:rsidRPr="00CC2595">
        <w:rPr>
          <w:rFonts w:ascii="Times New Roman" w:eastAsia="Times New Roman" w:hAnsi="Times New Roman" w:cs="Times New Roman"/>
          <w:color w:val="0B0C0C"/>
          <w:sz w:val="28"/>
          <w:szCs w:val="28"/>
          <w:lang w:val="en-US"/>
        </w:rPr>
        <w:t>For the purposes of heading 2712 the expression ‘crude petroleum jelly’ (subheading 2712 10 100 0) is to be taken to apply to petroleum jelly of a natural color higher than 4.5 by the ASTM D 1500 method.</w:t>
      </w:r>
    </w:p>
    <w:p w:rsidR="00C25E3B" w:rsidRPr="00CC2595" w:rsidRDefault="00C25E3B" w:rsidP="006E02E3">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4. For the purposes of subheadings 2712 90 310 0 to 2712 90 390 0, the term ‘crude’ is to be taken to apply to products:</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a) with an oil content of 3.5 or higher by the ISO 2908 method, if their viscosity at 100° C is lower than 9x10-6 m2 s-1 by the EN ISO 3104 method; or</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b) of a natural colour higher than 3 by the ASTM D 1500 method, if their viscosity at 100° C is 9x10-6 m2 s-1 or higher by the EN ISO 3104 method.</w:t>
      </w:r>
    </w:p>
    <w:p w:rsidR="00C25E3B" w:rsidRPr="00CC2595" w:rsidRDefault="00C25E3B" w:rsidP="006E02E3">
      <w:pPr>
        <w:spacing w:after="0" w:line="240" w:lineRule="auto"/>
        <w:ind w:left="284" w:hanging="284"/>
        <w:jc w:val="both"/>
        <w:rPr>
          <w:rFonts w:ascii="Times New Roman" w:eastAsia="Times New Roman" w:hAnsi="Times New Roman" w:cs="Times New Roman"/>
          <w:sz w:val="28"/>
          <w:szCs w:val="28"/>
          <w:lang w:val="en-US"/>
        </w:rPr>
      </w:pPr>
      <w:r w:rsidRPr="00CC2595">
        <w:rPr>
          <w:rFonts w:ascii="Times New Roman" w:hAnsi="Times New Roman" w:cs="Times New Roman"/>
          <w:sz w:val="28"/>
          <w:szCs w:val="28"/>
          <w:lang w:val="en-US"/>
        </w:rPr>
        <w:t xml:space="preserve"> 5. </w:t>
      </w:r>
      <w:r w:rsidRPr="00CC2595">
        <w:rPr>
          <w:rFonts w:ascii="Times New Roman" w:eastAsia="Times New Roman" w:hAnsi="Times New Roman" w:cs="Times New Roman"/>
          <w:color w:val="0B0C0C"/>
          <w:sz w:val="28"/>
          <w:szCs w:val="28"/>
          <w:shd w:val="clear" w:color="auto" w:fill="FFFFFF"/>
          <w:lang w:val="en-US"/>
        </w:rPr>
        <w:t>For the purposes of headings 2710, 2711 and 2712, the term ‘specific process’ is to be taken to apply to the following operations:</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a) vacuum distillation;</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b) redistillation by a very thorough fractionation process;</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c) cracking;</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d) reforming;</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e) extraction by means of selective solvents;</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 xml:space="preserve">f) the process comprising all the following operations: processing with concentrated sulphuric acid, oleum or sulphuric anhydride; neutralisation with </w:t>
      </w:r>
      <w:r w:rsidRPr="00CC2595">
        <w:rPr>
          <w:rFonts w:ascii="Times New Roman" w:eastAsia="Times New Roman" w:hAnsi="Times New Roman" w:cs="Times New Roman"/>
          <w:color w:val="0B0C0C"/>
          <w:sz w:val="28"/>
          <w:szCs w:val="28"/>
          <w:lang w:val="en-US"/>
        </w:rPr>
        <w:lastRenderedPageBreak/>
        <w:t>alkaline agents; decolourisation and purification with naturally active earth, activated earth, activated charcoal or bauxite;</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g) polymerisation;</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h) alkylation;</w:t>
      </w:r>
    </w:p>
    <w:p w:rsidR="00C25E3B" w:rsidRPr="00CC2595" w:rsidRDefault="00C25E3B"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ij) isomerisation;</w:t>
      </w:r>
    </w:p>
    <w:p w:rsidR="00A07715" w:rsidRPr="00CC2595" w:rsidRDefault="003A6154" w:rsidP="006E02E3">
      <w:pPr>
        <w:spacing w:after="0" w:line="240" w:lineRule="auto"/>
        <w:ind w:left="567"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k</w:t>
      </w:r>
      <w:r w:rsidR="00A07715" w:rsidRPr="00CC2595">
        <w:rPr>
          <w:rFonts w:ascii="Times New Roman" w:hAnsi="Times New Roman" w:cs="Times New Roman"/>
          <w:sz w:val="28"/>
          <w:szCs w:val="28"/>
          <w:lang w:val="en-US"/>
        </w:rPr>
        <w:t xml:space="preserve">) </w:t>
      </w:r>
      <w:r w:rsidRPr="00CC2595">
        <w:rPr>
          <w:rFonts w:ascii="Times New Roman" w:hAnsi="Times New Roman" w:cs="Times New Roman"/>
          <w:color w:val="0B0C0C"/>
          <w:sz w:val="28"/>
          <w:szCs w:val="28"/>
          <w:shd w:val="clear" w:color="auto" w:fill="FFFFFF"/>
          <w:lang w:val="en-US"/>
        </w:rPr>
        <w:t>(in respect of products of subheadings 2710 19 31</w:t>
      </w:r>
      <w:r w:rsidR="00CA0A59" w:rsidRPr="00CC2595">
        <w:rPr>
          <w:rFonts w:ascii="Times New Roman" w:hAnsi="Times New Roman" w:cs="Times New Roman"/>
          <w:color w:val="0B0C0C"/>
          <w:sz w:val="28"/>
          <w:szCs w:val="28"/>
          <w:shd w:val="clear" w:color="auto" w:fill="FFFFFF"/>
          <w:lang w:val="en-US"/>
        </w:rPr>
        <w:t>0 0</w:t>
      </w:r>
      <w:r w:rsidRPr="00CC2595">
        <w:rPr>
          <w:rFonts w:ascii="Times New Roman" w:hAnsi="Times New Roman" w:cs="Times New Roman"/>
          <w:color w:val="0B0C0C"/>
          <w:sz w:val="28"/>
          <w:szCs w:val="28"/>
          <w:shd w:val="clear" w:color="auto" w:fill="FFFFFF"/>
          <w:lang w:val="en-US"/>
        </w:rPr>
        <w:t xml:space="preserve"> to 2710 19 9</w:t>
      </w:r>
      <w:r w:rsidR="00CA0A59" w:rsidRPr="00CC2595">
        <w:rPr>
          <w:rFonts w:ascii="Times New Roman" w:hAnsi="Times New Roman" w:cs="Times New Roman"/>
          <w:color w:val="0B0C0C"/>
          <w:sz w:val="28"/>
          <w:szCs w:val="28"/>
          <w:shd w:val="clear" w:color="auto" w:fill="FFFFFF"/>
          <w:lang w:val="en-US"/>
        </w:rPr>
        <w:t>80 0</w:t>
      </w:r>
      <w:r w:rsidRPr="00CC2595">
        <w:rPr>
          <w:rFonts w:ascii="Times New Roman" w:hAnsi="Times New Roman" w:cs="Times New Roman"/>
          <w:color w:val="0B0C0C"/>
          <w:sz w:val="28"/>
          <w:szCs w:val="28"/>
          <w:shd w:val="clear" w:color="auto" w:fill="FFFFFF"/>
          <w:lang w:val="en-US"/>
        </w:rPr>
        <w:t xml:space="preserve"> only) desulphurisation with hydrogen resulting in a reduction of at least 85% of the sulphur content of the products processed (EN ISO 20846, EN ISO 20884, or EN ISO 14596 or EN ISO 24260, EN ISO 20847 and EN ISO 8754 method);</w:t>
      </w:r>
      <w:r w:rsidR="00A07715" w:rsidRPr="00CC2595">
        <w:rPr>
          <w:rFonts w:ascii="Times New Roman" w:hAnsi="Times New Roman" w:cs="Times New Roman"/>
          <w:sz w:val="28"/>
          <w:szCs w:val="28"/>
          <w:lang w:val="en-US"/>
        </w:rPr>
        <w:t>;</w:t>
      </w:r>
    </w:p>
    <w:p w:rsidR="003A6154" w:rsidRPr="00CC2595" w:rsidRDefault="003A6154"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lang w:val="en-US"/>
        </w:rPr>
        <w:t>l</w:t>
      </w:r>
      <w:r w:rsidR="00A07715" w:rsidRPr="00CC2595">
        <w:rPr>
          <w:rFonts w:ascii="Times New Roman" w:hAnsi="Times New Roman" w:cs="Times New Roman"/>
          <w:sz w:val="28"/>
          <w:szCs w:val="28"/>
          <w:lang w:val="en-US"/>
        </w:rPr>
        <w:t xml:space="preserve">) </w:t>
      </w:r>
      <w:r w:rsidRPr="00CC2595">
        <w:rPr>
          <w:rFonts w:ascii="Times New Roman" w:eastAsia="Times New Roman" w:hAnsi="Times New Roman" w:cs="Times New Roman"/>
          <w:color w:val="0B0C0C"/>
          <w:sz w:val="28"/>
          <w:szCs w:val="28"/>
          <w:lang w:val="en-US"/>
        </w:rPr>
        <w:t>(in respect of products of heading 2710 only) deparaffing by a process other than filtering;</w:t>
      </w:r>
    </w:p>
    <w:p w:rsidR="003A6154" w:rsidRPr="00CC2595" w:rsidRDefault="003A6154"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m) (in respect of products of subheadings 2710 19 310 0 to 2710 19 980 0 only) treatment with hydrogen at a pressure of more than 20 bar and a temperature of more than 250° C with the use of a catalyst, other than to effect desulphurisation, when the hydrogen constitutes an active element in a chemical reaction. The further treatment with hydrogen of lubricating oils of subheadings 2710 19 710 0 to 2710 19 980 0 (eg hydrofinishing or decolourisation) in order, more especially, to improve color or stability shall not, however, be deemed to be a specific process;</w:t>
      </w:r>
    </w:p>
    <w:p w:rsidR="00CA0A59" w:rsidRPr="00CC2595" w:rsidRDefault="00CA0A59"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color w:val="0B0C0C"/>
          <w:sz w:val="28"/>
          <w:szCs w:val="28"/>
          <w:shd w:val="clear" w:color="auto" w:fill="FFFFFF"/>
          <w:lang w:val="en-US"/>
        </w:rPr>
        <w:t>n)  (in respect of products of subheadings 2710 19 510 to 2710 19 680 only) atmospheric distillation, on condition that less than 30% of these products distils, by volume, including losses, at 300° C by the ISO 3405 method (equivalent to the ASTM D 86 method).</w:t>
      </w:r>
    </w:p>
    <w:p w:rsidR="003A6154" w:rsidRPr="00CC2595" w:rsidRDefault="00A07715" w:rsidP="006E02E3">
      <w:pPr>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hAnsi="Times New Roman" w:cs="Times New Roman"/>
          <w:sz w:val="28"/>
          <w:szCs w:val="28"/>
        </w:rPr>
        <w:t>о</w:t>
      </w:r>
      <w:r w:rsidRPr="00CC2595">
        <w:rPr>
          <w:rFonts w:ascii="Times New Roman" w:hAnsi="Times New Roman" w:cs="Times New Roman"/>
          <w:sz w:val="28"/>
          <w:szCs w:val="28"/>
          <w:lang w:val="en-US"/>
        </w:rPr>
        <w:t>)</w:t>
      </w:r>
      <w:r w:rsidR="003A6154" w:rsidRPr="00CC2595">
        <w:rPr>
          <w:rFonts w:ascii="Times New Roman" w:eastAsia="Times New Roman" w:hAnsi="Times New Roman" w:cs="Times New Roman"/>
          <w:color w:val="0B0C0C"/>
          <w:sz w:val="28"/>
          <w:szCs w:val="28"/>
          <w:lang w:val="en-US"/>
        </w:rPr>
        <w:t> (in respect of products of subheadings 2710 19 710 0 to 2710 19 980 0 only) treatment by means of a high-frequency electrical brush-discharge;</w:t>
      </w:r>
    </w:p>
    <w:p w:rsidR="003A6154" w:rsidRPr="00CC2595" w:rsidRDefault="003A6154" w:rsidP="006E02E3">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C2595">
        <w:rPr>
          <w:rFonts w:ascii="Times New Roman" w:eastAsia="Times New Roman" w:hAnsi="Times New Roman" w:cs="Times New Roman"/>
          <w:color w:val="0B0C0C"/>
          <w:sz w:val="28"/>
          <w:szCs w:val="28"/>
          <w:lang w:val="en-US"/>
        </w:rPr>
        <w:t>p)</w:t>
      </w:r>
      <w:r w:rsidR="006E02E3">
        <w:rPr>
          <w:rFonts w:ascii="Times New Roman" w:eastAsia="Times New Roman" w:hAnsi="Times New Roman" w:cs="Times New Roman"/>
          <w:color w:val="0B0C0C"/>
          <w:sz w:val="28"/>
          <w:szCs w:val="28"/>
          <w:lang w:val="en-US"/>
        </w:rPr>
        <w:t xml:space="preserve"> </w:t>
      </w:r>
      <w:r w:rsidRPr="00CC2595">
        <w:rPr>
          <w:rFonts w:ascii="Times New Roman" w:eastAsia="Times New Roman" w:hAnsi="Times New Roman" w:cs="Times New Roman"/>
          <w:color w:val="0B0C0C"/>
          <w:sz w:val="28"/>
          <w:szCs w:val="28"/>
          <w:lang w:val="en-US"/>
        </w:rPr>
        <w:t>solely for products under subheading 2712 90310 0: de-oiling by fractional crystallisation.</w:t>
      </w:r>
    </w:p>
    <w:p w:rsidR="00A07715" w:rsidRPr="006E02E3" w:rsidRDefault="00CA0A59" w:rsidP="006E02E3">
      <w:pPr>
        <w:spacing w:after="0" w:line="240" w:lineRule="auto"/>
        <w:ind w:left="284" w:hanging="284"/>
        <w:jc w:val="both"/>
        <w:rPr>
          <w:rFonts w:ascii="Times New Roman" w:hAnsi="Times New Roman" w:cs="Times New Roman"/>
          <w:b/>
          <w:sz w:val="28"/>
          <w:szCs w:val="28"/>
          <w:lang w:val="en-US"/>
        </w:rPr>
      </w:pPr>
      <w:r w:rsidRPr="006E02E3">
        <w:rPr>
          <w:rFonts w:ascii="Times New Roman" w:hAnsi="Times New Roman" w:cs="Times New Roman"/>
          <w:b/>
          <w:sz w:val="28"/>
          <w:szCs w:val="28"/>
          <w:lang w:val="en-US"/>
        </w:rPr>
        <w:t>Additional notes of Economic Eurasian Union</w:t>
      </w:r>
      <w:r w:rsidR="00A07715" w:rsidRPr="006E02E3">
        <w:rPr>
          <w:rFonts w:ascii="Times New Roman" w:hAnsi="Times New Roman" w:cs="Times New Roman"/>
          <w:b/>
          <w:sz w:val="28"/>
          <w:szCs w:val="28"/>
          <w:lang w:val="en-US"/>
        </w:rPr>
        <w:t>:</w:t>
      </w:r>
    </w:p>
    <w:p w:rsidR="00341EB5" w:rsidRPr="00CC2595" w:rsidRDefault="00A07715" w:rsidP="006E02E3">
      <w:pPr>
        <w:spacing w:after="0" w:line="240" w:lineRule="auto"/>
        <w:ind w:left="284"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1. </w:t>
      </w:r>
      <w:r w:rsidR="00CA0A59" w:rsidRPr="00CC2595">
        <w:rPr>
          <w:rFonts w:ascii="Times New Roman" w:hAnsi="Times New Roman" w:cs="Times New Roman"/>
          <w:sz w:val="28"/>
          <w:szCs w:val="28"/>
          <w:lang w:val="en-US"/>
        </w:rPr>
        <w:t xml:space="preserve">For the purpose of </w:t>
      </w:r>
      <w:r w:rsidR="00341EB5" w:rsidRPr="00CC2595">
        <w:rPr>
          <w:rFonts w:ascii="Times New Roman" w:hAnsi="Times New Roman" w:cs="Times New Roman"/>
          <w:sz w:val="28"/>
          <w:szCs w:val="28"/>
          <w:lang w:val="en-US"/>
        </w:rPr>
        <w:t>subh</w:t>
      </w:r>
      <w:r w:rsidR="00CA0A59" w:rsidRPr="00CC2595">
        <w:rPr>
          <w:rFonts w:ascii="Times New Roman" w:hAnsi="Times New Roman" w:cs="Times New Roman"/>
          <w:sz w:val="28"/>
          <w:szCs w:val="28"/>
          <w:lang w:val="en-US"/>
        </w:rPr>
        <w:t>eadings</w:t>
      </w:r>
      <w:r w:rsidRPr="00CC2595">
        <w:rPr>
          <w:rFonts w:ascii="Times New Roman" w:hAnsi="Times New Roman" w:cs="Times New Roman"/>
          <w:sz w:val="28"/>
          <w:szCs w:val="28"/>
          <w:lang w:val="en-US"/>
        </w:rPr>
        <w:t xml:space="preserve"> 2710 19 510 1, 2710 19 550 1, 2710 19 620 1, 2710 19 640 1,</w:t>
      </w:r>
      <w:r w:rsidR="006E02E3">
        <w:rPr>
          <w:rFonts w:ascii="Times New Roman" w:hAnsi="Times New Roman" w:cs="Times New Roman"/>
          <w:sz w:val="28"/>
          <w:szCs w:val="28"/>
          <w:lang w:val="en-US"/>
        </w:rPr>
        <w:t xml:space="preserve"> </w:t>
      </w:r>
      <w:r w:rsidRPr="00CC2595">
        <w:rPr>
          <w:rFonts w:ascii="Times New Roman" w:hAnsi="Times New Roman" w:cs="Times New Roman"/>
          <w:sz w:val="28"/>
          <w:szCs w:val="28"/>
          <w:lang w:val="en-US"/>
        </w:rPr>
        <w:t>2710 19 660 1, 2710 19 680 1, 2710 20 310 1, 2710 20 350 1, 2710 20 370 1,</w:t>
      </w:r>
      <w:r w:rsidR="00341EB5" w:rsidRPr="00CC2595">
        <w:rPr>
          <w:rFonts w:ascii="Times New Roman" w:hAnsi="Times New Roman" w:cs="Times New Roman"/>
          <w:sz w:val="28"/>
          <w:szCs w:val="28"/>
          <w:lang w:val="en-US"/>
        </w:rPr>
        <w:t xml:space="preserve"> </w:t>
      </w:r>
      <w:r w:rsidRPr="00CC2595">
        <w:rPr>
          <w:rFonts w:ascii="Times New Roman" w:hAnsi="Times New Roman" w:cs="Times New Roman"/>
          <w:sz w:val="28"/>
          <w:szCs w:val="28"/>
          <w:lang w:val="en-US"/>
        </w:rPr>
        <w:t xml:space="preserve">2710 20 390 1, </w:t>
      </w:r>
      <w:r w:rsidR="00341EB5" w:rsidRPr="00CC2595">
        <w:rPr>
          <w:rFonts w:ascii="Times New Roman" w:hAnsi="Times New Roman" w:cs="Times New Roman"/>
          <w:sz w:val="28"/>
          <w:szCs w:val="28"/>
          <w:lang w:val="en-US"/>
        </w:rPr>
        <w:t>The term "fuel oil" means heavy distillates which temperature of boiling starts at</w:t>
      </w:r>
      <w:r w:rsidR="006E02E3">
        <w:rPr>
          <w:rFonts w:ascii="Times New Roman" w:hAnsi="Times New Roman" w:cs="Times New Roman"/>
          <w:sz w:val="28"/>
          <w:szCs w:val="28"/>
          <w:lang w:val="en-US"/>
        </w:rPr>
        <w:t xml:space="preserve"> 200</w:t>
      </w:r>
      <w:r w:rsidR="00341EB5" w:rsidRPr="00CC2595">
        <w:rPr>
          <w:rFonts w:ascii="Times New Roman" w:hAnsi="Times New Roman" w:cs="Times New Roman"/>
          <w:sz w:val="28"/>
          <w:szCs w:val="28"/>
          <w:lang w:val="en-US"/>
        </w:rPr>
        <w:t xml:space="preserve">°C or higher by ASTM D 86 method, the amount of gas oil fractions that are distilled up </w:t>
      </w:r>
      <w:r w:rsidR="006E02E3">
        <w:rPr>
          <w:rFonts w:ascii="Times New Roman" w:hAnsi="Times New Roman" w:cs="Times New Roman"/>
          <w:sz w:val="28"/>
          <w:szCs w:val="28"/>
          <w:lang w:val="en-US"/>
        </w:rPr>
        <w:t>to 350</w:t>
      </w:r>
      <w:r w:rsidR="00341EB5" w:rsidRPr="00CC2595">
        <w:rPr>
          <w:rFonts w:ascii="Times New Roman" w:hAnsi="Times New Roman" w:cs="Times New Roman"/>
          <w:sz w:val="28"/>
          <w:szCs w:val="28"/>
          <w:lang w:val="en-US"/>
        </w:rPr>
        <w:t>°C by ASTM D 1160 method is not more than 17% vol., except for bunker fuel F5 produced</w:t>
      </w:r>
      <w:r w:rsidR="00C36753" w:rsidRPr="00CC2595">
        <w:rPr>
          <w:rFonts w:ascii="Times New Roman" w:hAnsi="Times New Roman" w:cs="Times New Roman"/>
          <w:sz w:val="28"/>
          <w:szCs w:val="28"/>
          <w:lang w:val="en-US"/>
        </w:rPr>
        <w:t xml:space="preserve"> according to the </w:t>
      </w:r>
      <w:r w:rsidR="00341EB5" w:rsidRPr="00CC2595">
        <w:rPr>
          <w:rFonts w:ascii="Times New Roman" w:hAnsi="Times New Roman" w:cs="Times New Roman"/>
          <w:sz w:val="28"/>
          <w:szCs w:val="28"/>
          <w:lang w:val="en-US"/>
        </w:rPr>
        <w:t xml:space="preserve">GOST 10585, </w:t>
      </w:r>
      <w:r w:rsidR="002E071E" w:rsidRPr="00CC2595">
        <w:rPr>
          <w:rFonts w:ascii="Times New Roman" w:hAnsi="Times New Roman" w:cs="Times New Roman"/>
          <w:sz w:val="28"/>
          <w:szCs w:val="28"/>
          <w:lang w:val="en-US"/>
        </w:rPr>
        <w:t xml:space="preserve">for </w:t>
      </w:r>
      <w:r w:rsidR="00341EB5" w:rsidRPr="00CC2595">
        <w:rPr>
          <w:rFonts w:ascii="Times New Roman" w:hAnsi="Times New Roman" w:cs="Times New Roman"/>
          <w:sz w:val="28"/>
          <w:szCs w:val="28"/>
          <w:lang w:val="en-US"/>
        </w:rPr>
        <w:t>which</w:t>
      </w:r>
      <w:r w:rsidR="00C36753" w:rsidRPr="00CC2595">
        <w:rPr>
          <w:rFonts w:ascii="Times New Roman" w:hAnsi="Times New Roman" w:cs="Times New Roman"/>
          <w:sz w:val="28"/>
          <w:szCs w:val="28"/>
          <w:lang w:val="en-US"/>
        </w:rPr>
        <w:t xml:space="preserve"> </w:t>
      </w:r>
      <w:r w:rsidR="00341EB5" w:rsidRPr="00CC2595">
        <w:rPr>
          <w:rFonts w:ascii="Times New Roman" w:hAnsi="Times New Roman" w:cs="Times New Roman"/>
          <w:sz w:val="28"/>
          <w:szCs w:val="28"/>
          <w:lang w:val="en-US"/>
        </w:rPr>
        <w:t>the content of such fractions is not more than</w:t>
      </w:r>
      <w:r w:rsidR="00C36753" w:rsidRPr="00CC2595">
        <w:rPr>
          <w:rFonts w:ascii="Times New Roman" w:hAnsi="Times New Roman" w:cs="Times New Roman"/>
          <w:sz w:val="28"/>
          <w:szCs w:val="28"/>
          <w:lang w:val="en-US"/>
        </w:rPr>
        <w:t xml:space="preserve"> </w:t>
      </w:r>
      <w:r w:rsidR="00341EB5" w:rsidRPr="00CC2595">
        <w:rPr>
          <w:rFonts w:ascii="Times New Roman" w:hAnsi="Times New Roman" w:cs="Times New Roman"/>
          <w:sz w:val="28"/>
          <w:szCs w:val="28"/>
          <w:lang w:val="en-US"/>
        </w:rPr>
        <w:t xml:space="preserve">22 vol.%, </w:t>
      </w:r>
      <w:r w:rsidR="00C36753" w:rsidRPr="00CC2595">
        <w:rPr>
          <w:rFonts w:ascii="Times New Roman" w:hAnsi="Times New Roman" w:cs="Times New Roman"/>
          <w:sz w:val="28"/>
          <w:szCs w:val="28"/>
          <w:lang w:val="en-US"/>
        </w:rPr>
        <w:t xml:space="preserve"> the temperature of </w:t>
      </w:r>
      <w:r w:rsidR="00341EB5" w:rsidRPr="00CC2595">
        <w:rPr>
          <w:rFonts w:ascii="Times New Roman" w:hAnsi="Times New Roman" w:cs="Times New Roman"/>
          <w:sz w:val="28"/>
          <w:szCs w:val="28"/>
          <w:lang w:val="en-US"/>
        </w:rPr>
        <w:t xml:space="preserve">Bunker fuel flash point in closed crucible </w:t>
      </w:r>
      <w:r w:rsidR="00C36753" w:rsidRPr="00CC2595">
        <w:rPr>
          <w:rFonts w:ascii="Times New Roman" w:hAnsi="Times New Roman" w:cs="Times New Roman"/>
          <w:sz w:val="28"/>
          <w:szCs w:val="28"/>
          <w:lang w:val="en-US"/>
        </w:rPr>
        <w:t xml:space="preserve">is </w:t>
      </w:r>
      <w:r w:rsidR="00341EB5" w:rsidRPr="00CC2595">
        <w:rPr>
          <w:rFonts w:ascii="Times New Roman" w:hAnsi="Times New Roman" w:cs="Times New Roman"/>
          <w:sz w:val="28"/>
          <w:szCs w:val="28"/>
          <w:lang w:val="en-US"/>
        </w:rPr>
        <w:t>not less than 80 ° C</w:t>
      </w:r>
      <w:r w:rsidR="00C36753" w:rsidRPr="00CC2595">
        <w:rPr>
          <w:rFonts w:ascii="Times New Roman" w:hAnsi="Times New Roman" w:cs="Times New Roman"/>
          <w:sz w:val="28"/>
          <w:szCs w:val="28"/>
          <w:lang w:val="en-US"/>
        </w:rPr>
        <w:t xml:space="preserve"> </w:t>
      </w:r>
      <w:r w:rsidR="00341EB5" w:rsidRPr="00CC2595">
        <w:rPr>
          <w:rFonts w:ascii="Times New Roman" w:hAnsi="Times New Roman" w:cs="Times New Roman"/>
          <w:sz w:val="28"/>
          <w:szCs w:val="28"/>
          <w:lang w:val="en-US"/>
        </w:rPr>
        <w:t>by ASTM D 93</w:t>
      </w:r>
      <w:r w:rsidR="00C36753" w:rsidRPr="00CC2595">
        <w:rPr>
          <w:rFonts w:ascii="Times New Roman" w:hAnsi="Times New Roman" w:cs="Times New Roman"/>
          <w:sz w:val="28"/>
          <w:szCs w:val="28"/>
          <w:lang w:val="en-US"/>
        </w:rPr>
        <w:t xml:space="preserve"> method</w:t>
      </w:r>
      <w:r w:rsidR="00341EB5" w:rsidRPr="00CC2595">
        <w:rPr>
          <w:rFonts w:ascii="Times New Roman" w:hAnsi="Times New Roman" w:cs="Times New Roman"/>
          <w:sz w:val="28"/>
          <w:szCs w:val="28"/>
          <w:lang w:val="en-US"/>
        </w:rPr>
        <w:t xml:space="preserve">, </w:t>
      </w:r>
      <w:r w:rsidR="00C36753" w:rsidRPr="00CC2595">
        <w:rPr>
          <w:rFonts w:ascii="Times New Roman" w:hAnsi="Times New Roman" w:cs="Times New Roman"/>
          <w:sz w:val="28"/>
          <w:szCs w:val="28"/>
          <w:lang w:val="en-US"/>
        </w:rPr>
        <w:t xml:space="preserve">the temperature of </w:t>
      </w:r>
      <w:r w:rsidR="00341EB5" w:rsidRPr="00CC2595">
        <w:rPr>
          <w:rFonts w:ascii="Times New Roman" w:hAnsi="Times New Roman" w:cs="Times New Roman"/>
          <w:sz w:val="28"/>
          <w:szCs w:val="28"/>
          <w:lang w:val="en-US"/>
        </w:rPr>
        <w:t xml:space="preserve">flash point </w:t>
      </w:r>
      <w:r w:rsidR="00C36753" w:rsidRPr="00CC2595">
        <w:rPr>
          <w:rFonts w:ascii="Times New Roman" w:hAnsi="Times New Roman" w:cs="Times New Roman"/>
          <w:sz w:val="28"/>
          <w:szCs w:val="28"/>
          <w:lang w:val="en-US"/>
        </w:rPr>
        <w:t>for other</w:t>
      </w:r>
      <w:r w:rsidR="00341EB5" w:rsidRPr="00CC2595">
        <w:rPr>
          <w:rFonts w:ascii="Times New Roman" w:hAnsi="Times New Roman" w:cs="Times New Roman"/>
          <w:sz w:val="28"/>
          <w:szCs w:val="28"/>
          <w:lang w:val="en-US"/>
        </w:rPr>
        <w:t xml:space="preserve"> fuel oil</w:t>
      </w:r>
      <w:r w:rsidR="00C36753" w:rsidRPr="00CC2595">
        <w:rPr>
          <w:rFonts w:ascii="Times New Roman" w:hAnsi="Times New Roman" w:cs="Times New Roman"/>
          <w:sz w:val="28"/>
          <w:szCs w:val="28"/>
          <w:lang w:val="en-US"/>
        </w:rPr>
        <w:t xml:space="preserve">s is </w:t>
      </w:r>
      <w:r w:rsidR="006E02E3">
        <w:rPr>
          <w:rFonts w:ascii="Times New Roman" w:hAnsi="Times New Roman" w:cs="Times New Roman"/>
          <w:sz w:val="28"/>
          <w:szCs w:val="28"/>
          <w:lang w:val="en-US"/>
        </w:rPr>
        <w:t>not less than 90°</w:t>
      </w:r>
      <w:r w:rsidR="00341EB5" w:rsidRPr="00CC2595">
        <w:rPr>
          <w:rFonts w:ascii="Times New Roman" w:hAnsi="Times New Roman" w:cs="Times New Roman"/>
          <w:sz w:val="28"/>
          <w:szCs w:val="28"/>
          <w:lang w:val="en-US"/>
        </w:rPr>
        <w:t>C by ASTM D 92</w:t>
      </w:r>
      <w:r w:rsidR="00C36753" w:rsidRPr="00CC2595">
        <w:rPr>
          <w:rFonts w:ascii="Times New Roman" w:hAnsi="Times New Roman" w:cs="Times New Roman"/>
          <w:sz w:val="28"/>
          <w:szCs w:val="28"/>
          <w:lang w:val="en-US"/>
        </w:rPr>
        <w:t xml:space="preserve"> method.</w:t>
      </w:r>
      <w:r w:rsidR="00341EB5" w:rsidRPr="00CC2595">
        <w:rPr>
          <w:rFonts w:ascii="Times New Roman" w:hAnsi="Times New Roman" w:cs="Times New Roman"/>
          <w:sz w:val="28"/>
          <w:szCs w:val="28"/>
          <w:lang w:val="en-US"/>
        </w:rPr>
        <w:t xml:space="preserve"> </w:t>
      </w:r>
    </w:p>
    <w:p w:rsidR="008E6E38" w:rsidRDefault="00A07715" w:rsidP="006E02E3">
      <w:pPr>
        <w:spacing w:after="0" w:line="240" w:lineRule="auto"/>
        <w:ind w:left="284" w:hanging="284"/>
        <w:jc w:val="both"/>
        <w:rPr>
          <w:rFonts w:ascii="Times New Roman" w:hAnsi="Times New Roman" w:cs="Times New Roman"/>
          <w:sz w:val="28"/>
          <w:szCs w:val="28"/>
          <w:lang w:val="en-US"/>
        </w:rPr>
      </w:pPr>
      <w:r w:rsidRPr="00CC2595">
        <w:rPr>
          <w:rFonts w:ascii="Times New Roman" w:hAnsi="Times New Roman" w:cs="Times New Roman"/>
          <w:sz w:val="28"/>
          <w:szCs w:val="28"/>
          <w:lang w:val="en-US"/>
        </w:rPr>
        <w:t xml:space="preserve">2. </w:t>
      </w:r>
      <w:r w:rsidR="00C36753" w:rsidRPr="00CC2595">
        <w:rPr>
          <w:rFonts w:ascii="Times New Roman" w:hAnsi="Times New Roman" w:cs="Times New Roman"/>
          <w:sz w:val="28"/>
          <w:szCs w:val="28"/>
          <w:lang w:val="en-US"/>
        </w:rPr>
        <w:t>For the products of subheading 2710 12 250 1 the content of n-hexane is determined by ASTM D 5134 method , temperature</w:t>
      </w:r>
      <w:r w:rsidR="002E071E" w:rsidRPr="00CC2595">
        <w:rPr>
          <w:rFonts w:ascii="Times New Roman" w:hAnsi="Times New Roman" w:cs="Times New Roman"/>
          <w:sz w:val="28"/>
          <w:szCs w:val="28"/>
          <w:lang w:val="en-US"/>
        </w:rPr>
        <w:t xml:space="preserve"> of boil start and end</w:t>
      </w:r>
      <w:r w:rsidR="00C36753" w:rsidRPr="00CC2595">
        <w:rPr>
          <w:rFonts w:ascii="Times New Roman" w:hAnsi="Times New Roman" w:cs="Times New Roman"/>
          <w:sz w:val="28"/>
          <w:szCs w:val="28"/>
          <w:lang w:val="en-US"/>
        </w:rPr>
        <w:t xml:space="preserve"> is determined by the </w:t>
      </w:r>
      <w:r w:rsidR="002E071E" w:rsidRPr="00CC2595">
        <w:rPr>
          <w:rFonts w:ascii="Times New Roman" w:hAnsi="Times New Roman" w:cs="Times New Roman"/>
          <w:sz w:val="28"/>
          <w:szCs w:val="28"/>
          <w:lang w:val="en-US"/>
        </w:rPr>
        <w:t xml:space="preserve">EN ISO 3405 </w:t>
      </w:r>
      <w:r w:rsidR="00C36753" w:rsidRPr="00CC2595">
        <w:rPr>
          <w:rFonts w:ascii="Times New Roman" w:hAnsi="Times New Roman" w:cs="Times New Roman"/>
          <w:sz w:val="28"/>
          <w:szCs w:val="28"/>
          <w:lang w:val="en-US"/>
        </w:rPr>
        <w:t>method</w:t>
      </w:r>
      <w:r w:rsidRPr="00CC2595">
        <w:rPr>
          <w:rFonts w:ascii="Times New Roman" w:hAnsi="Times New Roman" w:cs="Times New Roman"/>
          <w:sz w:val="28"/>
          <w:szCs w:val="28"/>
          <w:lang w:val="en-US"/>
        </w:rPr>
        <w:t>.</w:t>
      </w:r>
    </w:p>
    <w:p w:rsidR="00BC2887" w:rsidRDefault="00BC2887" w:rsidP="006E02E3">
      <w:pPr>
        <w:spacing w:after="0" w:line="240" w:lineRule="auto"/>
        <w:ind w:left="284" w:hanging="284"/>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BC2887" w:rsidRPr="00BC2887" w:rsidTr="00BC2887">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887" w:rsidRPr="00BC2887" w:rsidRDefault="00BC2887" w:rsidP="00BC2887">
            <w:pPr>
              <w:spacing w:after="0" w:line="240" w:lineRule="auto"/>
              <w:jc w:val="center"/>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BC2887" w:rsidRPr="00BC2887" w:rsidRDefault="00BC2887" w:rsidP="00BC2887">
            <w:pPr>
              <w:spacing w:after="0" w:line="240" w:lineRule="auto"/>
              <w:jc w:val="center"/>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2887" w:rsidRPr="00BC2887" w:rsidRDefault="00BC2887" w:rsidP="00BC2887">
            <w:pPr>
              <w:spacing w:after="0" w:line="240" w:lineRule="auto"/>
              <w:jc w:val="center"/>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Add. </w:t>
            </w:r>
            <w:r w:rsidRPr="00BC2887">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Coal;briquettes, ovoids and similar solid fuels manufactured from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bookmarkStart w:id="0" w:name="_GoBack" w:colFirst="3" w:colLast="3"/>
            <w:r w:rsidRPr="00BC288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coal, whether or not pulverised but not agglomerated: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bookmarkEnd w:id="0"/>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anthracite: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2701 11 100 0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 having a volatile matter limit (on a dry, mineral- matter- free basis) not exceeding 10%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2701 11 900 0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bituminous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2701 12 100 0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coking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2701 12 900 0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2701 19 000 0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2701 20 000 0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briquettes, ovoids and similar solid fuels manufactured from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Lignite, whether or not agglomerated, excluding jet: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2702 10 000 0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lignite, whether or not pulverised, but not agglomerated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2702 20 000 0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agglomerated lignite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2703 00 000 0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Peat, (including peat litter), whether or not agglomerated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2704 00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Coke and semi- coke of coal, of lignite or of peat, whether or not agglomerated; retort carbon:</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coke and semi- coke of coal: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2704 00 110 0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for the manufacture of electrodes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2704 00 190 0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2704 00 300 0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coke and semi- coke of lignite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2704 00 900 0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2705 00 000 0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Coal gas, water gas, producer gas, and similar gases, other than petroleum gases and other gaseous hydrocarbons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m</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2706 00 000 0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Tar distilled from coal, from lignite or from peat, and other mineral tars, whether or not dehydrated or partially distilled, including reconstituted tars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Oils and other products of the distillation of high temperature coal tar; similar products in which the weight of the aromatic constituents exceeds that of the non- aromatic constituents: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2707 10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benzol (benzene):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2707 10 100 0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for use as a power or heating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2707 10 900 0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2707 20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toluol (toluene)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2707 20 100 0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for use as a power or heating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2707 20 900 0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2707 30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xylol (xylenes)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2707 30 100 0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for use as a power or heating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2707 30 900 0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2707 40 000 0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naphthalene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2707 50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other aromatic hydrocarbon mixtures of which 65% or more by volume (including losses) distils at 250°C by the ASTM D 86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2707 50 100 0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use as power or heating fuels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2707 50 900 0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2707 91 000 0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creosote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crude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crude light oils of which 90% or more by volume distils at temperatures of up to 200°C</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2707 99 190 0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2707 99 300 0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sulphuretted toppings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2707 99 500 0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basic products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2707 99 700 0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anthracene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2707 99 800 0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phenols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2707 99 910 0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the manufacture of the products of heading 2803</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2707 99 990 0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2708</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Pitch and pitch coke, obtained from coal tar or from other mineral tars: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2708 10 000 0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pitch</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2708 20 000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pitch coke: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2708 20 000 1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acicular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2708 20 000 9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Petroleum oils and oils obtained from bituminous minerals, crude: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2709 00 100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natural gas condensates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2709 00 100 1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stabilized gas condensate with density at 20 ° C is not less than 650 kg / m, but not more than 850 kg / m and a sulfur content of 1.0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2709 00 100 9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Crude oil of density at 20 ° C is not less than 906 kg / m, but not more than 967 kg / m and a sulfur content less than 1.98 wt.%, but not more than 2.34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2709 00 900 2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Crude oil of density at 20 ° C is not less than 694.7 kg / m but not more than 980 kg / m and a sulfur content less than 0.04 wt.%, but not more than 5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2709 00 900 3</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crude oil dencity at 20 °C is not less than 694,7kg/m3 but not more than 887,6 kg/m3  with a sulfur content not less than 0,04 % by weight but not more than 1,5 % by weight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2709 00 900 4</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crude oil dencity at 20 °C is not less than 750 kg/m3 but not more than 900 kg/m3  with a sulfur content not less than 4 % by weight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2709 00 900 9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220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Petroleum oils and oils obtained from bituminous minerals, other than crude; preparations not elsewhere specified or included, containing by weight 70 % or more of petroleum oils or of oils obtained from bituminous minerals, these oils being the basic constituents of the preparations; waste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220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oil and oil products (except crude) obtained from bituminous minerals, and products, not elsewhere specified or included, containing 70 wt.% or more of petroleum oils or oils obtained from bituminous minerals, these oils being the basic constituents of products for excluding those containing biodiesel and waste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light distillates and products: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w:t>
            </w:r>
            <w:r w:rsidRPr="00BC2887">
              <w:rPr>
                <w:rFonts w:ascii="Times New Roman" w:eastAsia="Times New Roman" w:hAnsi="Times New Roman" w:cs="Times New Roman"/>
                <w:color w:val="000000"/>
                <w:sz w:val="24"/>
                <w:szCs w:val="24"/>
                <w:lang w:eastAsia="ru-RU"/>
              </w:rPr>
              <w:br/>
              <w:t>for specific processes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2710 12 150 0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val="en-US" w:eastAsia="ru-RU"/>
              </w:rPr>
            </w:pPr>
            <w:r w:rsidRPr="00BC2887">
              <w:rPr>
                <w:rFonts w:ascii="Times New Roman" w:eastAsia="Times New Roman" w:hAnsi="Times New Roman" w:cs="Times New Roman"/>
                <w:color w:val="000000"/>
                <w:sz w:val="24"/>
                <w:szCs w:val="24"/>
                <w:lang w:val="en-US" w:eastAsia="ru-RU"/>
              </w:rPr>
              <w:t>- - - for chemical transformation by a process except those of subheading 2710 12 110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special spirits: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2710 12 210 0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White spirit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2710 12 250 0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Subheading is excluded from the March 17, 2013 - Council decision on the ECE February 27, 2013 N 14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2710 12 250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2710 12 250 1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n-hexane content at least 55 wt.%, but no more than 80 wt.%, with initial boiling point of at least 64 ° C and the end point no more than 70 ° C</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2710 12 250 9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motor gasoline: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2710 12 310 0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aviation gasoline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 with a lead content: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not exceeding 0.013 g / 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Subheading is excluded since August 17, 2014 - decision of the Council of EEC dated July 16, 2014 N 51...</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less than 95 octane (on a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 automobile gasoline: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2710 12 411 0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 - with octane rating less than 80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2710 12 412 0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 - with octane rating 80 or more, but less than 92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2710 12 413 0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 - with octane raring 92 or more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2710 12 419 0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with an octane rating 95 or more, but less than 98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2710 12 490 0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with an octane number of 98 or more (according to the research method)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more than 0,013 g / 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2710 12 510 0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with an octane rating less than 98 (research method)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2710 12 590 0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with an octane number of 98 or more (according to the research method)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L</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2710 12 700 0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fuel gasoline jet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2710 12 900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other light distillate: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2710 12 900 1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trimers and tetramers of propylene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2710 12 900 9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medium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2710 19 150 0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chemical transformation by a process other than those specified in respect of subheading 2710 19 110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kerosene: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2710 19 210 0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jet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2710 19 250 0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2710 19 290 0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heavy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gas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2710 19 310 0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2710 19 350 0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chemical transformation by a process other than those specified in respect of subheading 2710 19 310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Subheading is excluded since August 17, 2014 - decision of the Council of EEC dated July 16, 2014 N 51...</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a sulfur content no more than 0.05 wt.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diesel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2710 19 421 0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 summer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2710 19 422 0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winter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2710 19 423 0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Arctic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2710 19 424 0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 off-season</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2710 19 425 0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 - other: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2710 19 426 0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marine fuels with a flash point in a closed tiglene below 61 ° C</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2710 19 429 0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2710 19 460 0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of more than 0.05 wt.% but less than 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2710 19 480 0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of more than 0.02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fuel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2710 19 510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2710 19 510 1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mazut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2710 19 510 9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2710 19 550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chemical transformation by a process other than those specified in respect of subheading 2710 19 510: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2710 19 550 1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mazut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2710 19 550 9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2710 19 620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no more than 1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2710 19 620 1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2710 19 620 9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2710 19 640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of more than 1 wt.% but less than 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2710 19 640 1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2710 19 640 9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2710 19 660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of more than 2 wt.% but less than 2.8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2710 19 660 1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2710 19 660 9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2710 19 680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with sulphur content of more than 2.8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2710 19 680 1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2710 19 680 9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lubricating oils; other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2710 19 710 0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2710 19 750 0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undergoing chemical transformation by a process other than those specified in respect of subheading 2710 19 710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2710 19 820 0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motor oils, compressor lube oils, turbine lube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2710 19 840 0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fluids for hydraulic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2710 19 860 0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white oils, paraffin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2710 19 880 0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xml:space="preserve">- - - - - - Gear oil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2710 19 920 0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mixture for metalworking, oil for the forms lubrication, anti-rust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2710 19 940 0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electrical insulating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2710 19 980 0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 Others lubricating oils and other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220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2710 20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oil and oil products (except crude) obtained from bituminous minerals, and products, not elsewhere specified or included, containing 70 wt.% or more of petroleum oils or oils obtained from bituminous minerals, these oils being the basic constituents of products for excluding those containing biodiesel and waste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gas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a sulfur content no more than 0.05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2710 20 150 0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of more than 0.05 wt.% but less than 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2710 20 190 0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of more than 0.02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liquid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2710 20 310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no more than 1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2710 20 310 1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2710 20 310 9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2710 20 350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of more than 1 wt.% but less than 0.2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2710 20 350 1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2710 20 350 9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2710 20 370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of more than 2 wt.% but less than 2.8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2710 20 370 1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2710 20 370 9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2710 20 390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with sulphur content of more than 2.8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2710 20 390 1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masut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2710 20 390 9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2710 20 900 0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others petroleum products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waste oils: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2710 91 000 0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containing polychlorinated biphenyls (PCBs), polychlorinated terphenyls (PCTs) or polybrominated biphenyls (PBBs)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2710 99 000 0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Petroleum gases and other gaseous hydrocarbons: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liquefied: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2711 11 000 0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natural gas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propane: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propane of a purity not less than 99%:</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2711 12 110 0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use as a power or heating fuel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2711 12 190 0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2711 12 910 0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2711 12 930 0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chemical transformation by a process other than those specified in respect of subheading 2711 12 910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2711 12 940 0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of a purity exceeding 90 % but less than 99 %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2711 12 970 0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2711 13</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butanes: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2711 13 100 0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2711 13 300 0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for undergoing chemical transformation by a process other than those specified in respect of subheading 2711 13 100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2711 13 910 0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of a purity exceeding 90 % but less than 95 %</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2711 13 970 0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2711 14 000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ethylene, propylene, butylene and butadiene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2711 14 000 1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mixture containing hydrocarbons C at least 98 wt.%, 1,3-butadiene is not less than 40 wt.% but less than 90 wt.%</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2711 14 000 9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2711 19 000 0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in gaseous state: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2711 21 000 0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natural gas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2711 29 000 0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157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Petroleum jelly; paraffin wax, microcrystalline petroleum wax, slack wax, ozokerite, lignite wax, peat wax, other mineral waxes, and similar products obtained by synthesis or by other processes, whether or not coloured: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2712 10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petroleum jelly:</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2712 10 100 0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crude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2712 10 900 0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2712 20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paraffin wax containing by weight less than 0.75% of oil:</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2712 20 100 0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synthetic paraffin wax of the molecular weight of 460 or more but not exceeding 1 560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2712 20 900 0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ozokerite, lignite wax or peat wax (natural products):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2712 90 110 0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crude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2712 90 190 0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crude: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2712 90 310 0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a specific process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2712 90 330 0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undergoing chemical transformation by a process other than those specified in respect of subheading 2712 90 310 0</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2712 90 390 0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for other purposes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2712 90 910 0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blend of 1- alkenes containing by weight 80% or more of 1- alkenes of a chain- length of 24 carbon atoms or more but not exceeding 28 carbon atoms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2712 90 990 0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Petroleum coke, petroleum bitumen and other residues of petroleum oils or of oils obtained from bituminous minerals.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petroleum coke:</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2713 11 000 0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not calcined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3</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2713 12 000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calcined:</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2713 12 000 1</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acicular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2713 12 000 9</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3</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2713 20 000 0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petroleum bitumen</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2713 90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 residues of petroleum oils or of oils obtained from bituminous minerals: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63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2713 90 100 0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for the manufacture of the products of heading 2803</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2713 90 900 0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94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2714</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Bitumen and asphalt, natural; bituminous or oil shale and tar sands; asphaltites and asphaltic rocks: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2714 10 000 0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bituminous or oil shale and tar sands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315"/>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2714 90 000 0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1260"/>
          <w:jc w:val="center"/>
        </w:trPr>
        <w:tc>
          <w:tcPr>
            <w:tcW w:w="1780" w:type="dxa"/>
            <w:tcBorders>
              <w:top w:val="nil"/>
              <w:left w:val="single" w:sz="4" w:space="0" w:color="auto"/>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lastRenderedPageBreak/>
              <w:t>2715 00 000 0</w:t>
            </w:r>
          </w:p>
        </w:tc>
        <w:tc>
          <w:tcPr>
            <w:tcW w:w="4820" w:type="dxa"/>
            <w:tcBorders>
              <w:top w:val="nil"/>
              <w:left w:val="nil"/>
              <w:bottom w:val="nil"/>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Bituminous mixtures based on natural asphalt, on natural bitumen, on petroleum bitumen, on mineral tar or on mineral tar pitch (for example, bituminous mastics, cut- backs)</w:t>
            </w:r>
          </w:p>
        </w:tc>
        <w:tc>
          <w:tcPr>
            <w:tcW w:w="96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5</w:t>
            </w:r>
          </w:p>
        </w:tc>
      </w:tr>
      <w:tr w:rsidR="00BC2887" w:rsidRPr="00BC2887" w:rsidTr="00BC2887">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2716 00 000 0</w:t>
            </w:r>
          </w:p>
        </w:tc>
        <w:tc>
          <w:tcPr>
            <w:tcW w:w="4820" w:type="dxa"/>
            <w:tcBorders>
              <w:top w:val="nil"/>
              <w:left w:val="nil"/>
              <w:bottom w:val="single" w:sz="4" w:space="0" w:color="auto"/>
              <w:right w:val="single" w:sz="4" w:space="0" w:color="auto"/>
            </w:tcBorders>
            <w:shd w:val="clear" w:color="auto" w:fill="auto"/>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Electrical energy</w:t>
            </w:r>
          </w:p>
        </w:tc>
        <w:tc>
          <w:tcPr>
            <w:tcW w:w="960" w:type="dxa"/>
            <w:tcBorders>
              <w:top w:val="nil"/>
              <w:left w:val="nil"/>
              <w:bottom w:val="single" w:sz="4" w:space="0" w:color="auto"/>
              <w:right w:val="single" w:sz="4" w:space="0" w:color="auto"/>
            </w:tcBorders>
            <w:shd w:val="clear" w:color="auto" w:fill="auto"/>
            <w:vAlign w:val="bottom"/>
            <w:hideMark/>
          </w:tcPr>
          <w:p w:rsidR="00BC2887" w:rsidRPr="00BC2887" w:rsidRDefault="00BC2887" w:rsidP="00BC2887">
            <w:pPr>
              <w:spacing w:after="0" w:line="240" w:lineRule="auto"/>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1000 kWh</w:t>
            </w:r>
          </w:p>
        </w:tc>
        <w:tc>
          <w:tcPr>
            <w:tcW w:w="2500" w:type="dxa"/>
            <w:tcBorders>
              <w:top w:val="nil"/>
              <w:left w:val="nil"/>
              <w:bottom w:val="single" w:sz="4" w:space="0" w:color="auto"/>
              <w:right w:val="single" w:sz="4" w:space="0" w:color="auto"/>
            </w:tcBorders>
            <w:shd w:val="clear" w:color="auto" w:fill="auto"/>
            <w:vAlign w:val="bottom"/>
            <w:hideMark/>
          </w:tcPr>
          <w:p w:rsidR="00BC2887" w:rsidRPr="00BC2887" w:rsidRDefault="00BC2887" w:rsidP="00BC2887">
            <w:pPr>
              <w:spacing w:after="0" w:line="240" w:lineRule="auto"/>
              <w:jc w:val="right"/>
              <w:rPr>
                <w:rFonts w:ascii="Times New Roman" w:eastAsia="Times New Roman" w:hAnsi="Times New Roman" w:cs="Times New Roman"/>
                <w:color w:val="000000"/>
                <w:sz w:val="24"/>
                <w:szCs w:val="24"/>
                <w:lang w:eastAsia="ru-RU"/>
              </w:rPr>
            </w:pPr>
            <w:r w:rsidRPr="00BC2887">
              <w:rPr>
                <w:rFonts w:ascii="Times New Roman" w:eastAsia="Times New Roman" w:hAnsi="Times New Roman" w:cs="Times New Roman"/>
                <w:color w:val="000000"/>
                <w:sz w:val="24"/>
                <w:szCs w:val="24"/>
                <w:lang w:eastAsia="ru-RU"/>
              </w:rPr>
              <w:t>0</w:t>
            </w:r>
          </w:p>
        </w:tc>
      </w:tr>
    </w:tbl>
    <w:p w:rsidR="00BC2887" w:rsidRPr="00CC2595" w:rsidRDefault="00BC2887" w:rsidP="006E02E3">
      <w:pPr>
        <w:spacing w:after="0" w:line="240" w:lineRule="auto"/>
        <w:ind w:left="284" w:hanging="284"/>
        <w:jc w:val="both"/>
        <w:rPr>
          <w:rFonts w:ascii="Times New Roman" w:hAnsi="Times New Roman" w:cs="Times New Roman"/>
          <w:sz w:val="28"/>
          <w:szCs w:val="28"/>
          <w:lang w:val="en-US"/>
        </w:rPr>
      </w:pPr>
    </w:p>
    <w:sectPr w:rsidR="00BC2887" w:rsidRPr="00CC2595" w:rsidSect="001451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56F"/>
    <w:multiLevelType w:val="multilevel"/>
    <w:tmpl w:val="019C3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510990"/>
    <w:multiLevelType w:val="multilevel"/>
    <w:tmpl w:val="0D34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132669"/>
    <w:multiLevelType w:val="multilevel"/>
    <w:tmpl w:val="AB90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8B1516"/>
    <w:multiLevelType w:val="multilevel"/>
    <w:tmpl w:val="04D2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B82785"/>
    <w:multiLevelType w:val="multilevel"/>
    <w:tmpl w:val="BA30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147D6F"/>
    <w:multiLevelType w:val="multilevel"/>
    <w:tmpl w:val="B2B0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691977"/>
    <w:multiLevelType w:val="multilevel"/>
    <w:tmpl w:val="415E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F75FD5"/>
    <w:multiLevelType w:val="multilevel"/>
    <w:tmpl w:val="8C9CD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B4504E"/>
    <w:multiLevelType w:val="multilevel"/>
    <w:tmpl w:val="16B0A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46137D"/>
    <w:multiLevelType w:val="multilevel"/>
    <w:tmpl w:val="97BA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0F31AE"/>
    <w:multiLevelType w:val="multilevel"/>
    <w:tmpl w:val="4F2A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0"/>
  </w:num>
  <w:num w:numId="4">
    <w:abstractNumId w:val="8"/>
  </w:num>
  <w:num w:numId="5">
    <w:abstractNumId w:val="5"/>
  </w:num>
  <w:num w:numId="6">
    <w:abstractNumId w:val="0"/>
  </w:num>
  <w:num w:numId="7">
    <w:abstractNumId w:val="4"/>
  </w:num>
  <w:num w:numId="8">
    <w:abstractNumId w:val="7"/>
  </w:num>
  <w:num w:numId="9">
    <w:abstractNumId w:val="6"/>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EA5F67"/>
    <w:rsid w:val="00005D00"/>
    <w:rsid w:val="001451DB"/>
    <w:rsid w:val="002E071E"/>
    <w:rsid w:val="00341EB5"/>
    <w:rsid w:val="003A6154"/>
    <w:rsid w:val="006E02E3"/>
    <w:rsid w:val="007975DE"/>
    <w:rsid w:val="008E6E38"/>
    <w:rsid w:val="00A07715"/>
    <w:rsid w:val="00BC2887"/>
    <w:rsid w:val="00C25E3B"/>
    <w:rsid w:val="00C36753"/>
    <w:rsid w:val="00CA0A59"/>
    <w:rsid w:val="00CC2595"/>
    <w:rsid w:val="00D80200"/>
    <w:rsid w:val="00D97A2D"/>
    <w:rsid w:val="00EA5F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576319-C292-4909-A104-30A4A4CC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1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D00"/>
    <w:pPr>
      <w:ind w:left="720"/>
      <w:contextualSpacing/>
    </w:pPr>
  </w:style>
  <w:style w:type="character" w:customStyle="1" w:styleId="apple-converted-space">
    <w:name w:val="apple-converted-space"/>
    <w:basedOn w:val="a0"/>
    <w:rsid w:val="003A6154"/>
  </w:style>
  <w:style w:type="table" w:styleId="a4">
    <w:name w:val="Table Grid"/>
    <w:basedOn w:val="a1"/>
    <w:uiPriority w:val="39"/>
    <w:rsid w:val="00CC2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BC2887"/>
    <w:rPr>
      <w:color w:val="0000FF"/>
      <w:u w:val="single"/>
    </w:rPr>
  </w:style>
  <w:style w:type="character" w:styleId="a6">
    <w:name w:val="FollowedHyperlink"/>
    <w:basedOn w:val="a0"/>
    <w:uiPriority w:val="99"/>
    <w:semiHidden/>
    <w:unhideWhenUsed/>
    <w:rsid w:val="00BC2887"/>
    <w:rPr>
      <w:color w:val="800080"/>
      <w:u w:val="single"/>
    </w:rPr>
  </w:style>
  <w:style w:type="paragraph" w:customStyle="1" w:styleId="xl66">
    <w:name w:val="xl66"/>
    <w:basedOn w:val="a"/>
    <w:rsid w:val="00BC288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BC288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BC288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BC288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BC288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BC288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BC288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BC2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BC2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6205">
      <w:bodyDiv w:val="1"/>
      <w:marLeft w:val="0"/>
      <w:marRight w:val="0"/>
      <w:marTop w:val="0"/>
      <w:marBottom w:val="0"/>
      <w:divBdr>
        <w:top w:val="none" w:sz="0" w:space="0" w:color="auto"/>
        <w:left w:val="none" w:sz="0" w:space="0" w:color="auto"/>
        <w:bottom w:val="none" w:sz="0" w:space="0" w:color="auto"/>
        <w:right w:val="none" w:sz="0" w:space="0" w:color="auto"/>
      </w:divBdr>
    </w:div>
    <w:div w:id="402416827">
      <w:bodyDiv w:val="1"/>
      <w:marLeft w:val="0"/>
      <w:marRight w:val="0"/>
      <w:marTop w:val="0"/>
      <w:marBottom w:val="0"/>
      <w:divBdr>
        <w:top w:val="none" w:sz="0" w:space="0" w:color="auto"/>
        <w:left w:val="none" w:sz="0" w:space="0" w:color="auto"/>
        <w:bottom w:val="none" w:sz="0" w:space="0" w:color="auto"/>
        <w:right w:val="none" w:sz="0" w:space="0" w:color="auto"/>
      </w:divBdr>
    </w:div>
    <w:div w:id="846139189">
      <w:bodyDiv w:val="1"/>
      <w:marLeft w:val="0"/>
      <w:marRight w:val="0"/>
      <w:marTop w:val="0"/>
      <w:marBottom w:val="0"/>
      <w:divBdr>
        <w:top w:val="none" w:sz="0" w:space="0" w:color="auto"/>
        <w:left w:val="none" w:sz="0" w:space="0" w:color="auto"/>
        <w:bottom w:val="none" w:sz="0" w:space="0" w:color="auto"/>
        <w:right w:val="none" w:sz="0" w:space="0" w:color="auto"/>
      </w:divBdr>
    </w:div>
    <w:div w:id="917246133">
      <w:bodyDiv w:val="1"/>
      <w:marLeft w:val="0"/>
      <w:marRight w:val="0"/>
      <w:marTop w:val="0"/>
      <w:marBottom w:val="0"/>
      <w:divBdr>
        <w:top w:val="none" w:sz="0" w:space="0" w:color="auto"/>
        <w:left w:val="none" w:sz="0" w:space="0" w:color="auto"/>
        <w:bottom w:val="none" w:sz="0" w:space="0" w:color="auto"/>
        <w:right w:val="none" w:sz="0" w:space="0" w:color="auto"/>
      </w:divBdr>
    </w:div>
    <w:div w:id="1038437284">
      <w:bodyDiv w:val="1"/>
      <w:marLeft w:val="0"/>
      <w:marRight w:val="0"/>
      <w:marTop w:val="0"/>
      <w:marBottom w:val="0"/>
      <w:divBdr>
        <w:top w:val="none" w:sz="0" w:space="0" w:color="auto"/>
        <w:left w:val="none" w:sz="0" w:space="0" w:color="auto"/>
        <w:bottom w:val="none" w:sz="0" w:space="0" w:color="auto"/>
        <w:right w:val="none" w:sz="0" w:space="0" w:color="auto"/>
      </w:divBdr>
    </w:div>
    <w:div w:id="1091271705">
      <w:bodyDiv w:val="1"/>
      <w:marLeft w:val="0"/>
      <w:marRight w:val="0"/>
      <w:marTop w:val="0"/>
      <w:marBottom w:val="0"/>
      <w:divBdr>
        <w:top w:val="none" w:sz="0" w:space="0" w:color="auto"/>
        <w:left w:val="none" w:sz="0" w:space="0" w:color="auto"/>
        <w:bottom w:val="none" w:sz="0" w:space="0" w:color="auto"/>
        <w:right w:val="none" w:sz="0" w:space="0" w:color="auto"/>
      </w:divBdr>
    </w:div>
    <w:div w:id="1324620150">
      <w:bodyDiv w:val="1"/>
      <w:marLeft w:val="0"/>
      <w:marRight w:val="0"/>
      <w:marTop w:val="0"/>
      <w:marBottom w:val="0"/>
      <w:divBdr>
        <w:top w:val="none" w:sz="0" w:space="0" w:color="auto"/>
        <w:left w:val="none" w:sz="0" w:space="0" w:color="auto"/>
        <w:bottom w:val="none" w:sz="0" w:space="0" w:color="auto"/>
        <w:right w:val="none" w:sz="0" w:space="0" w:color="auto"/>
      </w:divBdr>
    </w:div>
    <w:div w:id="1486127014">
      <w:bodyDiv w:val="1"/>
      <w:marLeft w:val="0"/>
      <w:marRight w:val="0"/>
      <w:marTop w:val="0"/>
      <w:marBottom w:val="0"/>
      <w:divBdr>
        <w:top w:val="none" w:sz="0" w:space="0" w:color="auto"/>
        <w:left w:val="none" w:sz="0" w:space="0" w:color="auto"/>
        <w:bottom w:val="none" w:sz="0" w:space="0" w:color="auto"/>
        <w:right w:val="none" w:sz="0" w:space="0" w:color="auto"/>
      </w:divBdr>
    </w:div>
    <w:div w:id="1673486060">
      <w:bodyDiv w:val="1"/>
      <w:marLeft w:val="0"/>
      <w:marRight w:val="0"/>
      <w:marTop w:val="0"/>
      <w:marBottom w:val="0"/>
      <w:divBdr>
        <w:top w:val="none" w:sz="0" w:space="0" w:color="auto"/>
        <w:left w:val="none" w:sz="0" w:space="0" w:color="auto"/>
        <w:bottom w:val="none" w:sz="0" w:space="0" w:color="auto"/>
        <w:right w:val="none" w:sz="0" w:space="0" w:color="auto"/>
      </w:divBdr>
    </w:div>
    <w:div w:id="1753814929">
      <w:bodyDiv w:val="1"/>
      <w:marLeft w:val="0"/>
      <w:marRight w:val="0"/>
      <w:marTop w:val="0"/>
      <w:marBottom w:val="0"/>
      <w:divBdr>
        <w:top w:val="none" w:sz="0" w:space="0" w:color="auto"/>
        <w:left w:val="none" w:sz="0" w:space="0" w:color="auto"/>
        <w:bottom w:val="none" w:sz="0" w:space="0" w:color="auto"/>
        <w:right w:val="none" w:sz="0" w:space="0" w:color="auto"/>
      </w:divBdr>
    </w:div>
    <w:div w:id="1926643696">
      <w:bodyDiv w:val="1"/>
      <w:marLeft w:val="0"/>
      <w:marRight w:val="0"/>
      <w:marTop w:val="0"/>
      <w:marBottom w:val="0"/>
      <w:divBdr>
        <w:top w:val="none" w:sz="0" w:space="0" w:color="auto"/>
        <w:left w:val="none" w:sz="0" w:space="0" w:color="auto"/>
        <w:bottom w:val="none" w:sz="0" w:space="0" w:color="auto"/>
        <w:right w:val="none" w:sz="0" w:space="0" w:color="auto"/>
      </w:divBdr>
    </w:div>
    <w:div w:id="195744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14</Pages>
  <Words>3821</Words>
  <Characters>21782</Characters>
  <Application>Microsoft Office Word</Application>
  <DocSecurity>0</DocSecurity>
  <Lines>181</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2015-05-16T08:09:00Z</dcterms:created>
  <dcterms:modified xsi:type="dcterms:W3CDTF">2015-05-21T12:41:00Z</dcterms:modified>
</cp:coreProperties>
</file>